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3F" w:rsidRPr="006C171A" w:rsidRDefault="00A2493F" w:rsidP="00A2493F">
      <w:pPr>
        <w:jc w:val="center"/>
        <w:rPr>
          <w:b/>
        </w:rPr>
      </w:pPr>
      <w:r w:rsidRPr="006C171A">
        <w:rPr>
          <w:b/>
        </w:rPr>
        <w:t xml:space="preserve">ПРОТОКОЛ  № </w:t>
      </w:r>
      <w:r w:rsidR="00D604E9">
        <w:rPr>
          <w:b/>
        </w:rPr>
        <w:t>151</w:t>
      </w:r>
    </w:p>
    <w:p w:rsidR="00A2493F" w:rsidRPr="006C171A" w:rsidRDefault="00A2493F" w:rsidP="00A2493F">
      <w:pPr>
        <w:jc w:val="center"/>
        <w:rPr>
          <w:b/>
        </w:rPr>
      </w:pPr>
      <w:r w:rsidRPr="006C171A">
        <w:rPr>
          <w:b/>
        </w:rPr>
        <w:t>Заседания Дисциплинарного комитета</w:t>
      </w:r>
    </w:p>
    <w:p w:rsidR="00A2493F" w:rsidRPr="006C171A" w:rsidRDefault="00A2493F" w:rsidP="00A2493F">
      <w:pPr>
        <w:jc w:val="center"/>
        <w:rPr>
          <w:b/>
        </w:rPr>
      </w:pPr>
      <w:r w:rsidRPr="006C171A">
        <w:rPr>
          <w:b/>
        </w:rPr>
        <w:t>Союз «Комплексное Объединение Проектировщиков»</w:t>
      </w:r>
    </w:p>
    <w:p w:rsidR="00A2493F" w:rsidRPr="006C171A" w:rsidRDefault="00A2493F" w:rsidP="00A2493F">
      <w:pPr>
        <w:jc w:val="center"/>
        <w:rPr>
          <w:b/>
        </w:rPr>
      </w:pPr>
    </w:p>
    <w:p w:rsidR="00A2493F" w:rsidRPr="006C171A" w:rsidRDefault="00A2493F" w:rsidP="00A2493F">
      <w:pPr>
        <w:tabs>
          <w:tab w:val="left" w:pos="7395"/>
        </w:tabs>
      </w:pPr>
      <w:r w:rsidRPr="006C171A">
        <w:tab/>
      </w:r>
    </w:p>
    <w:p w:rsidR="00A2493F" w:rsidRPr="006C171A" w:rsidRDefault="009A025B" w:rsidP="00A2493F">
      <w:pPr>
        <w:rPr>
          <w:i/>
        </w:rPr>
      </w:pPr>
      <w:r>
        <w:rPr>
          <w:i/>
        </w:rPr>
        <w:t>г. Краснодар</w:t>
      </w:r>
      <w:r>
        <w:rPr>
          <w:i/>
        </w:rPr>
        <w:tab/>
      </w:r>
      <w:r>
        <w:rPr>
          <w:i/>
        </w:rPr>
        <w:tab/>
      </w:r>
      <w:r>
        <w:rPr>
          <w:i/>
        </w:rPr>
        <w:tab/>
      </w:r>
      <w:r>
        <w:rPr>
          <w:i/>
        </w:rPr>
        <w:tab/>
      </w:r>
      <w:r>
        <w:rPr>
          <w:i/>
        </w:rPr>
        <w:tab/>
      </w:r>
      <w:r>
        <w:rPr>
          <w:i/>
        </w:rPr>
        <w:tab/>
      </w:r>
      <w:r>
        <w:rPr>
          <w:i/>
        </w:rPr>
        <w:tab/>
      </w:r>
      <w:r>
        <w:rPr>
          <w:i/>
        </w:rPr>
        <w:tab/>
        <w:t xml:space="preserve">      </w:t>
      </w:r>
      <w:r w:rsidR="00D604E9">
        <w:rPr>
          <w:i/>
        </w:rPr>
        <w:t>от «12</w:t>
      </w:r>
      <w:r w:rsidR="00A2493F">
        <w:rPr>
          <w:i/>
        </w:rPr>
        <w:t xml:space="preserve">» </w:t>
      </w:r>
      <w:r w:rsidR="00C821D2">
        <w:rPr>
          <w:i/>
        </w:rPr>
        <w:t>июл</w:t>
      </w:r>
      <w:r w:rsidR="006A1A4E">
        <w:rPr>
          <w:i/>
        </w:rPr>
        <w:t>я</w:t>
      </w:r>
      <w:r w:rsidR="00A2493F">
        <w:rPr>
          <w:i/>
        </w:rPr>
        <w:t xml:space="preserve"> 2016</w:t>
      </w:r>
      <w:r w:rsidR="00A2493F" w:rsidRPr="006C171A">
        <w:rPr>
          <w:i/>
        </w:rPr>
        <w:t xml:space="preserve"> г.</w:t>
      </w:r>
    </w:p>
    <w:p w:rsidR="00A2493F" w:rsidRPr="006C171A" w:rsidRDefault="00A2493F" w:rsidP="00A2493F">
      <w:r w:rsidRPr="006C171A">
        <w:tab/>
      </w:r>
      <w:r w:rsidRPr="006C171A">
        <w:tab/>
        <w:t>Время начала собрания 10ч. 00мин.</w:t>
      </w:r>
    </w:p>
    <w:p w:rsidR="00A2493F" w:rsidRPr="006C171A" w:rsidRDefault="00A2493F" w:rsidP="00A2493F">
      <w:r w:rsidRPr="006C171A">
        <w:tab/>
      </w:r>
      <w:r w:rsidRPr="006C171A">
        <w:tab/>
        <w:t>Время окончания собрания 12ч. 00мин.</w:t>
      </w:r>
    </w:p>
    <w:p w:rsidR="00A2493F" w:rsidRPr="006C171A" w:rsidRDefault="00A2493F" w:rsidP="00A2493F">
      <w:pPr>
        <w:jc w:val="both"/>
        <w:rPr>
          <w:b/>
        </w:rPr>
      </w:pPr>
      <w:r w:rsidRPr="006C171A">
        <w:rPr>
          <w:b/>
        </w:rPr>
        <w:t>Присутствуют члены Дисциплинарного комитета</w:t>
      </w:r>
    </w:p>
    <w:p w:rsidR="00A2493F" w:rsidRPr="006C171A" w:rsidRDefault="00A2493F" w:rsidP="00A2493F">
      <w:pPr>
        <w:jc w:val="both"/>
      </w:pPr>
      <w:r w:rsidRPr="006C171A">
        <w:t>1. Халтурин А. А. – Председатель Дисциплинарного комитета</w:t>
      </w:r>
    </w:p>
    <w:p w:rsidR="00A2493F" w:rsidRPr="006C171A" w:rsidRDefault="008739E7" w:rsidP="00A2493F">
      <w:pPr>
        <w:jc w:val="both"/>
      </w:pPr>
      <w:r>
        <w:t xml:space="preserve">2  </w:t>
      </w:r>
      <w:proofErr w:type="spellStart"/>
      <w:r>
        <w:t>Кечин</w:t>
      </w:r>
      <w:proofErr w:type="spellEnd"/>
      <w:r>
        <w:t xml:space="preserve"> А.Г.</w:t>
      </w:r>
    </w:p>
    <w:p w:rsidR="00A2493F" w:rsidRPr="006C171A" w:rsidRDefault="00A2493F" w:rsidP="00A2493F">
      <w:pPr>
        <w:pStyle w:val="ConsPlusNormal"/>
        <w:widowControl/>
        <w:ind w:firstLine="0"/>
        <w:jc w:val="both"/>
        <w:rPr>
          <w:rFonts w:ascii="Times New Roman" w:hAnsi="Times New Roman" w:cs="Times New Roman"/>
          <w:sz w:val="24"/>
          <w:szCs w:val="24"/>
        </w:rPr>
      </w:pPr>
      <w:r w:rsidRPr="006C171A">
        <w:rPr>
          <w:rFonts w:ascii="Times New Roman" w:hAnsi="Times New Roman" w:cs="Times New Roman"/>
          <w:sz w:val="24"/>
          <w:szCs w:val="24"/>
        </w:rPr>
        <w:t>3. Павлова М. С.</w:t>
      </w:r>
    </w:p>
    <w:p w:rsidR="00A2493F" w:rsidRPr="006C171A" w:rsidRDefault="00A2493F" w:rsidP="00A2493F">
      <w:pPr>
        <w:pStyle w:val="ConsPlusNormal"/>
        <w:widowControl/>
        <w:ind w:firstLine="0"/>
        <w:jc w:val="both"/>
        <w:rPr>
          <w:rFonts w:ascii="Times New Roman" w:hAnsi="Times New Roman" w:cs="Times New Roman"/>
          <w:sz w:val="24"/>
          <w:szCs w:val="24"/>
        </w:rPr>
      </w:pPr>
    </w:p>
    <w:p w:rsidR="00A2493F" w:rsidRPr="006C171A" w:rsidRDefault="00A2493F" w:rsidP="00A2493F">
      <w:pPr>
        <w:jc w:val="both"/>
        <w:rPr>
          <w:b/>
        </w:rPr>
      </w:pPr>
      <w:r w:rsidRPr="006C171A">
        <w:rPr>
          <w:b/>
        </w:rPr>
        <w:t>Кворум для решения вопросов Повестки дня имеется.</w:t>
      </w:r>
    </w:p>
    <w:p w:rsidR="00A2493F" w:rsidRPr="006C171A" w:rsidRDefault="00A2493F" w:rsidP="00A2493F">
      <w:pPr>
        <w:jc w:val="both"/>
        <w:rPr>
          <w:b/>
        </w:rPr>
      </w:pPr>
      <w:r w:rsidRPr="006C171A">
        <w:rPr>
          <w:b/>
        </w:rPr>
        <w:t>Приглашенные:</w:t>
      </w:r>
    </w:p>
    <w:p w:rsidR="00A2493F" w:rsidRPr="006C171A" w:rsidRDefault="00A2493F" w:rsidP="00A2493F">
      <w:pPr>
        <w:ind w:firstLine="360"/>
        <w:jc w:val="both"/>
      </w:pPr>
      <w:r w:rsidRPr="006C171A">
        <w:t>Председатель КЭК Асланов В.Б.</w:t>
      </w:r>
    </w:p>
    <w:p w:rsidR="00A2493F" w:rsidRPr="006C171A" w:rsidRDefault="00A2493F" w:rsidP="00A2493F">
      <w:pPr>
        <w:jc w:val="both"/>
      </w:pPr>
      <w:proofErr w:type="gramStart"/>
      <w:r w:rsidRPr="006C171A">
        <w:rPr>
          <w:b/>
        </w:rPr>
        <w:t>Лица</w:t>
      </w:r>
      <w:proofErr w:type="gramEnd"/>
      <w:r w:rsidRPr="006C171A">
        <w:rPr>
          <w:b/>
        </w:rPr>
        <w:t xml:space="preserve"> участвующие в заседании, их представители</w:t>
      </w:r>
      <w:r w:rsidRPr="006C171A">
        <w:t>:</w:t>
      </w:r>
    </w:p>
    <w:p w:rsidR="00A2493F" w:rsidRPr="006C171A" w:rsidRDefault="00A2493F" w:rsidP="00A2493F">
      <w:pPr>
        <w:jc w:val="both"/>
        <w:rPr>
          <w:b/>
        </w:rPr>
      </w:pPr>
    </w:p>
    <w:p w:rsidR="00A2493F" w:rsidRDefault="00A2493F" w:rsidP="00A2493F">
      <w:pPr>
        <w:jc w:val="both"/>
      </w:pPr>
      <w:r w:rsidRPr="006C171A">
        <w:rPr>
          <w:b/>
        </w:rPr>
        <w:t xml:space="preserve">Секретарь заседания: </w:t>
      </w:r>
      <w:r w:rsidRPr="006C171A">
        <w:t>Елисеева Ю. М.</w:t>
      </w:r>
      <w:r w:rsidRPr="006C171A">
        <w:tab/>
      </w:r>
    </w:p>
    <w:p w:rsidR="00FD2AB7" w:rsidRDefault="00FD2AB7" w:rsidP="00A2493F">
      <w:pPr>
        <w:jc w:val="both"/>
      </w:pPr>
    </w:p>
    <w:p w:rsidR="00051E94" w:rsidRPr="006C171A" w:rsidRDefault="00051E94" w:rsidP="00A2493F">
      <w:pPr>
        <w:jc w:val="both"/>
      </w:pPr>
    </w:p>
    <w:p w:rsidR="00A2493F" w:rsidRPr="006C171A" w:rsidRDefault="00A2493F" w:rsidP="00A2493F">
      <w:pPr>
        <w:jc w:val="both"/>
      </w:pPr>
    </w:p>
    <w:p w:rsidR="00A2493F" w:rsidRDefault="00A2493F" w:rsidP="00A2493F">
      <w:pPr>
        <w:spacing w:after="240"/>
        <w:jc w:val="center"/>
        <w:rPr>
          <w:b/>
        </w:rPr>
      </w:pPr>
      <w:r w:rsidRPr="006C171A">
        <w:rPr>
          <w:b/>
        </w:rPr>
        <w:t>ПОВЕСТКА ДНЯ:</w:t>
      </w:r>
    </w:p>
    <w:p w:rsidR="00250144" w:rsidRDefault="00250144"/>
    <w:p w:rsidR="00D7760F" w:rsidRPr="003A2B64" w:rsidRDefault="00D7760F" w:rsidP="00D7760F">
      <w:pPr>
        <w:pStyle w:val="a3"/>
        <w:numPr>
          <w:ilvl w:val="0"/>
          <w:numId w:val="27"/>
        </w:numPr>
        <w:spacing w:after="240"/>
        <w:jc w:val="both"/>
        <w:rPr>
          <w:b/>
        </w:rPr>
      </w:pPr>
      <w:r w:rsidRPr="009563D4">
        <w:t xml:space="preserve">Рассмотрение дел о применении мер дисциплинарного воздействия в виде вынесения предписания об обязательном устранении  членом союза выявленных нарушений в установленные сроки. </w:t>
      </w:r>
    </w:p>
    <w:p w:rsidR="003A2B64" w:rsidRDefault="003A2B64" w:rsidP="003A2B64">
      <w:pPr>
        <w:pStyle w:val="a3"/>
        <w:numPr>
          <w:ilvl w:val="0"/>
          <w:numId w:val="27"/>
        </w:numPr>
        <w:spacing w:after="240"/>
        <w:jc w:val="both"/>
      </w:pPr>
      <w:r w:rsidRPr="006C380B">
        <w:t>Рассмотрение дел о применении в отношении членов  мер дисциплинарного воздействия в виде предупреждения.</w:t>
      </w:r>
    </w:p>
    <w:p w:rsidR="006129B2" w:rsidRDefault="006129B2" w:rsidP="00C47AC1">
      <w:pPr>
        <w:pStyle w:val="a3"/>
        <w:numPr>
          <w:ilvl w:val="0"/>
          <w:numId w:val="27"/>
        </w:numPr>
        <w:ind w:left="1429" w:hanging="357"/>
        <w:jc w:val="both"/>
        <w:rPr>
          <w:kern w:val="2"/>
          <w:lang w:eastAsia="ru-RU"/>
        </w:rPr>
      </w:pPr>
      <w:r w:rsidRPr="006129B2">
        <w:rPr>
          <w:kern w:val="2"/>
          <w:lang w:eastAsia="ru-RU"/>
        </w:rPr>
        <w:t>Рассмотрение вопроса о снятии действия выданного ранее предписания об обязательном устранении  членом  выявленных нарушений в установленные сроки в связи с устранением указанных нарушений.</w:t>
      </w:r>
    </w:p>
    <w:p w:rsidR="00C47AC1" w:rsidRDefault="00C47AC1" w:rsidP="00C47AC1">
      <w:pPr>
        <w:pStyle w:val="ConsPlusNormal"/>
        <w:widowControl/>
        <w:numPr>
          <w:ilvl w:val="0"/>
          <w:numId w:val="27"/>
        </w:numPr>
        <w:spacing w:after="240"/>
        <w:jc w:val="both"/>
        <w:rPr>
          <w:rFonts w:ascii="Times New Roman" w:hAnsi="Times New Roman" w:cs="Times New Roman"/>
          <w:sz w:val="24"/>
          <w:szCs w:val="24"/>
        </w:rPr>
      </w:pPr>
      <w:r w:rsidRPr="000B4030">
        <w:rPr>
          <w:rFonts w:ascii="Times New Roman" w:hAnsi="Times New Roman" w:cs="Times New Roman"/>
          <w:sz w:val="24"/>
          <w:szCs w:val="24"/>
        </w:rPr>
        <w:t>Рас</w:t>
      </w:r>
      <w:r>
        <w:rPr>
          <w:rFonts w:ascii="Times New Roman" w:hAnsi="Times New Roman" w:cs="Times New Roman"/>
          <w:sz w:val="24"/>
          <w:szCs w:val="24"/>
        </w:rPr>
        <w:t>смотрение Представления прокуратуры Западного административного округа г. Краснодара «об устранении нарушений градостроительного законодательства» ООО «Фирмой «ИНЖИЛ».</w:t>
      </w:r>
    </w:p>
    <w:p w:rsidR="00D7760F" w:rsidRPr="003B0CA8" w:rsidRDefault="00D7760F" w:rsidP="00D7760F">
      <w:pPr>
        <w:autoSpaceDE w:val="0"/>
        <w:autoSpaceDN w:val="0"/>
        <w:adjustRightInd w:val="0"/>
        <w:jc w:val="both"/>
        <w:rPr>
          <w:rFonts w:eastAsia="Times New Roman"/>
          <w:lang w:eastAsia="ru-RU"/>
        </w:rPr>
      </w:pPr>
      <w:r>
        <w:rPr>
          <w:rFonts w:eastAsia="Times New Roman"/>
          <w:b/>
          <w:i/>
          <w:lang w:eastAsia="ru-RU"/>
        </w:rPr>
        <w:t>По первому</w:t>
      </w:r>
      <w:r w:rsidRPr="004F58E0">
        <w:rPr>
          <w:rFonts w:eastAsia="Times New Roman"/>
          <w:b/>
          <w:i/>
          <w:lang w:eastAsia="ru-RU"/>
        </w:rPr>
        <w:t xml:space="preserve"> вопросу</w:t>
      </w:r>
      <w:r w:rsidRPr="004F58E0">
        <w:rPr>
          <w:rFonts w:eastAsia="Times New Roman"/>
          <w:i/>
          <w:lang w:eastAsia="ru-RU"/>
        </w:rPr>
        <w:t xml:space="preserve"> </w:t>
      </w:r>
      <w:r w:rsidRPr="004F58E0">
        <w:rPr>
          <w:rFonts w:eastAsia="Times New Roman"/>
          <w:b/>
          <w:i/>
          <w:lang w:eastAsia="ru-RU"/>
        </w:rPr>
        <w:t>слушали</w:t>
      </w:r>
      <w:r w:rsidRPr="003B0CA8">
        <w:rPr>
          <w:rFonts w:eastAsia="Times New Roman"/>
          <w:b/>
          <w:lang w:eastAsia="ru-RU"/>
        </w:rPr>
        <w:t xml:space="preserve"> Асланова В. Б</w:t>
      </w:r>
      <w:r w:rsidRPr="003B0CA8">
        <w:rPr>
          <w:rFonts w:eastAsia="Times New Roman"/>
          <w:lang w:eastAsia="ru-RU"/>
        </w:rPr>
        <w:t xml:space="preserve">., который огласил </w:t>
      </w:r>
      <w:r>
        <w:rPr>
          <w:rFonts w:eastAsia="Times New Roman"/>
          <w:lang w:eastAsia="ru-RU"/>
        </w:rPr>
        <w:t xml:space="preserve">нижеуказанный </w:t>
      </w:r>
      <w:r w:rsidRPr="003B0CA8">
        <w:rPr>
          <w:rFonts w:eastAsia="Times New Roman"/>
          <w:lang w:eastAsia="ru-RU"/>
        </w:rPr>
        <w:t>список членов саморегулируемой организации, в отношении которых, согласно предоставленным актам проверок членов Союза «КОП» (прилагаются), выявлены нарушения соблюдения требований ПР-8 «Положение о членстве в Союзе «Комплексное Объединение Проектировщиков»:</w:t>
      </w:r>
    </w:p>
    <w:p w:rsidR="00D7760F" w:rsidRPr="003B0CA8" w:rsidRDefault="00D7760F" w:rsidP="00D7760F"/>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984"/>
        <w:gridCol w:w="2694"/>
      </w:tblGrid>
      <w:tr w:rsidR="00E61432" w:rsidRPr="003B0CA8" w:rsidTr="001F11FF">
        <w:trPr>
          <w:trHeight w:val="20"/>
        </w:trPr>
        <w:tc>
          <w:tcPr>
            <w:tcW w:w="993" w:type="dxa"/>
            <w:shd w:val="clear" w:color="auto" w:fill="auto"/>
            <w:vAlign w:val="center"/>
            <w:hideMark/>
          </w:tcPr>
          <w:p w:rsidR="00E61432" w:rsidRPr="003B0CA8" w:rsidRDefault="00E61432" w:rsidP="001F11FF">
            <w:pPr>
              <w:jc w:val="center"/>
              <w:rPr>
                <w:rFonts w:eastAsia="Times New Roman"/>
                <w:b/>
                <w:bCs/>
                <w:lang w:eastAsia="ru-RU"/>
              </w:rPr>
            </w:pPr>
            <w:r w:rsidRPr="003B0CA8">
              <w:rPr>
                <w:rFonts w:eastAsia="Times New Roman"/>
                <w:b/>
                <w:bCs/>
                <w:lang w:eastAsia="ru-RU"/>
              </w:rPr>
              <w:t>Номер п\</w:t>
            </w:r>
            <w:proofErr w:type="gramStart"/>
            <w:r w:rsidRPr="003B0CA8">
              <w:rPr>
                <w:rFonts w:eastAsia="Times New Roman"/>
                <w:b/>
                <w:bCs/>
                <w:lang w:eastAsia="ru-RU"/>
              </w:rPr>
              <w:t>п</w:t>
            </w:r>
            <w:proofErr w:type="gramEnd"/>
          </w:p>
        </w:tc>
        <w:tc>
          <w:tcPr>
            <w:tcW w:w="3827" w:type="dxa"/>
            <w:shd w:val="clear" w:color="auto" w:fill="auto"/>
            <w:vAlign w:val="center"/>
            <w:hideMark/>
          </w:tcPr>
          <w:p w:rsidR="00E61432" w:rsidRPr="003B0CA8" w:rsidRDefault="00E61432" w:rsidP="001F11FF">
            <w:pPr>
              <w:jc w:val="center"/>
              <w:rPr>
                <w:rFonts w:eastAsia="Times New Roman"/>
                <w:b/>
                <w:bCs/>
                <w:lang w:eastAsia="ru-RU"/>
              </w:rPr>
            </w:pPr>
            <w:r w:rsidRPr="003B0CA8">
              <w:rPr>
                <w:rFonts w:eastAsia="Times New Roman"/>
                <w:b/>
                <w:bCs/>
                <w:lang w:eastAsia="ru-RU"/>
              </w:rPr>
              <w:t>Наименование</w:t>
            </w:r>
          </w:p>
        </w:tc>
        <w:tc>
          <w:tcPr>
            <w:tcW w:w="1984" w:type="dxa"/>
            <w:shd w:val="clear" w:color="auto" w:fill="auto"/>
            <w:vAlign w:val="center"/>
            <w:hideMark/>
          </w:tcPr>
          <w:p w:rsidR="00E61432" w:rsidRPr="003B0CA8" w:rsidRDefault="00E61432" w:rsidP="001F11FF">
            <w:pPr>
              <w:jc w:val="center"/>
              <w:rPr>
                <w:rFonts w:eastAsia="Times New Roman"/>
                <w:b/>
                <w:bCs/>
                <w:lang w:eastAsia="ru-RU"/>
              </w:rPr>
            </w:pPr>
            <w:r w:rsidRPr="003B0CA8">
              <w:rPr>
                <w:rFonts w:eastAsia="Times New Roman"/>
                <w:b/>
                <w:bCs/>
                <w:lang w:eastAsia="ru-RU"/>
              </w:rPr>
              <w:t>ИНН</w:t>
            </w:r>
          </w:p>
        </w:tc>
        <w:tc>
          <w:tcPr>
            <w:tcW w:w="2694" w:type="dxa"/>
            <w:shd w:val="clear" w:color="auto" w:fill="auto"/>
            <w:vAlign w:val="center"/>
            <w:hideMark/>
          </w:tcPr>
          <w:p w:rsidR="00E61432" w:rsidRPr="003B0CA8" w:rsidRDefault="00E61432" w:rsidP="001F11FF">
            <w:pPr>
              <w:jc w:val="center"/>
              <w:rPr>
                <w:rFonts w:eastAsia="Times New Roman"/>
                <w:b/>
                <w:bCs/>
                <w:lang w:eastAsia="ru-RU"/>
              </w:rPr>
            </w:pPr>
            <w:r w:rsidRPr="003B0CA8">
              <w:rPr>
                <w:rFonts w:eastAsia="Times New Roman"/>
                <w:b/>
                <w:bCs/>
                <w:lang w:eastAsia="ru-RU"/>
              </w:rPr>
              <w:t>Нарушение</w:t>
            </w:r>
          </w:p>
        </w:tc>
      </w:tr>
      <w:tr w:rsidR="00E61432" w:rsidRPr="003B0CA8" w:rsidTr="001F11FF">
        <w:trPr>
          <w:trHeight w:val="20"/>
        </w:trPr>
        <w:tc>
          <w:tcPr>
            <w:tcW w:w="993" w:type="dxa"/>
            <w:shd w:val="clear" w:color="auto" w:fill="auto"/>
            <w:vAlign w:val="center"/>
          </w:tcPr>
          <w:p w:rsidR="00E61432" w:rsidRPr="003B0CA8" w:rsidRDefault="00E61432" w:rsidP="00D7760F">
            <w:pPr>
              <w:numPr>
                <w:ilvl w:val="0"/>
                <w:numId w:val="25"/>
              </w:numPr>
              <w:contextualSpacing/>
              <w:jc w:val="center"/>
              <w:rPr>
                <w:kern w:val="2"/>
                <w:lang w:eastAsia="ru-RU"/>
              </w:rPr>
            </w:pPr>
          </w:p>
        </w:tc>
        <w:tc>
          <w:tcPr>
            <w:tcW w:w="3827" w:type="dxa"/>
            <w:shd w:val="clear" w:color="auto" w:fill="auto"/>
            <w:vAlign w:val="center"/>
          </w:tcPr>
          <w:p w:rsidR="00E61432" w:rsidRPr="00914471" w:rsidRDefault="00E61432" w:rsidP="001F11FF">
            <w:r w:rsidRPr="006B236F">
              <w:t>ООО "</w:t>
            </w:r>
            <w:proofErr w:type="spellStart"/>
            <w:r w:rsidRPr="006B236F">
              <w:t>КубаньЭнергоПроект</w:t>
            </w:r>
            <w:proofErr w:type="spellEnd"/>
            <w:r w:rsidRPr="006B236F">
              <w:t>"</w:t>
            </w:r>
          </w:p>
        </w:tc>
        <w:tc>
          <w:tcPr>
            <w:tcW w:w="1984" w:type="dxa"/>
            <w:shd w:val="clear" w:color="auto" w:fill="auto"/>
            <w:vAlign w:val="center"/>
          </w:tcPr>
          <w:p w:rsidR="00E61432" w:rsidRPr="00914471" w:rsidRDefault="00E61432" w:rsidP="001F11FF">
            <w:r w:rsidRPr="006B236F">
              <w:t>2308041740</w:t>
            </w:r>
          </w:p>
        </w:tc>
        <w:tc>
          <w:tcPr>
            <w:tcW w:w="2694" w:type="dxa"/>
            <w:shd w:val="clear" w:color="auto" w:fill="auto"/>
            <w:vAlign w:val="center"/>
          </w:tcPr>
          <w:p w:rsidR="00E61432" w:rsidRPr="003B0CA8" w:rsidRDefault="00E61432" w:rsidP="001F11FF">
            <w:pPr>
              <w:rPr>
                <w:sz w:val="26"/>
                <w:szCs w:val="26"/>
              </w:rPr>
            </w:pPr>
            <w:r w:rsidRPr="003B0CA8">
              <w:rPr>
                <w:sz w:val="26"/>
                <w:szCs w:val="26"/>
              </w:rPr>
              <w:t>п. 3 ст. 55_8 Градостроительного кодекса РФ</w:t>
            </w:r>
          </w:p>
        </w:tc>
      </w:tr>
      <w:tr w:rsidR="00E61432" w:rsidRPr="003B0CA8" w:rsidTr="001F11FF">
        <w:trPr>
          <w:trHeight w:val="20"/>
        </w:trPr>
        <w:tc>
          <w:tcPr>
            <w:tcW w:w="993" w:type="dxa"/>
            <w:shd w:val="clear" w:color="auto" w:fill="auto"/>
            <w:vAlign w:val="center"/>
          </w:tcPr>
          <w:p w:rsidR="00E61432" w:rsidRPr="003B0CA8" w:rsidRDefault="00E61432" w:rsidP="00D7760F">
            <w:pPr>
              <w:numPr>
                <w:ilvl w:val="0"/>
                <w:numId w:val="25"/>
              </w:numPr>
              <w:contextualSpacing/>
              <w:jc w:val="center"/>
              <w:rPr>
                <w:kern w:val="2"/>
                <w:lang w:eastAsia="ru-RU"/>
              </w:rPr>
            </w:pPr>
          </w:p>
        </w:tc>
        <w:tc>
          <w:tcPr>
            <w:tcW w:w="3827" w:type="dxa"/>
            <w:shd w:val="clear" w:color="auto" w:fill="auto"/>
            <w:vAlign w:val="center"/>
          </w:tcPr>
          <w:p w:rsidR="00E61432" w:rsidRPr="003B0CA8" w:rsidRDefault="00E61432" w:rsidP="001F11FF">
            <w:r w:rsidRPr="00914471">
              <w:t>ООО "Мастер-Центр Плюс"</w:t>
            </w:r>
          </w:p>
        </w:tc>
        <w:tc>
          <w:tcPr>
            <w:tcW w:w="1984" w:type="dxa"/>
            <w:shd w:val="clear" w:color="auto" w:fill="auto"/>
            <w:vAlign w:val="center"/>
          </w:tcPr>
          <w:p w:rsidR="00E61432" w:rsidRPr="003B0CA8" w:rsidRDefault="00E61432" w:rsidP="001F11FF">
            <w:r w:rsidRPr="00914471">
              <w:t>2308131850</w:t>
            </w:r>
          </w:p>
        </w:tc>
        <w:tc>
          <w:tcPr>
            <w:tcW w:w="2694" w:type="dxa"/>
            <w:shd w:val="clear" w:color="auto" w:fill="auto"/>
            <w:vAlign w:val="center"/>
            <w:hideMark/>
          </w:tcPr>
          <w:p w:rsidR="00E61432" w:rsidRPr="003B0CA8" w:rsidRDefault="00E61432" w:rsidP="001F11FF">
            <w:r w:rsidRPr="003B0CA8">
              <w:rPr>
                <w:sz w:val="26"/>
                <w:szCs w:val="26"/>
              </w:rPr>
              <w:t>п. 3 ст. 55_8 Градостроительного кодекса РФ</w:t>
            </w:r>
          </w:p>
        </w:tc>
      </w:tr>
    </w:tbl>
    <w:p w:rsidR="00D7760F" w:rsidRPr="003B0CA8" w:rsidRDefault="00D7760F" w:rsidP="00D7760F"/>
    <w:p w:rsidR="00D7760F" w:rsidRPr="003B0CA8" w:rsidRDefault="00D7760F" w:rsidP="00D7760F">
      <w:pPr>
        <w:autoSpaceDE w:val="0"/>
        <w:autoSpaceDN w:val="0"/>
        <w:adjustRightInd w:val="0"/>
        <w:jc w:val="both"/>
        <w:rPr>
          <w:rFonts w:eastAsia="Times New Roman"/>
          <w:lang w:eastAsia="ru-RU"/>
        </w:rPr>
      </w:pPr>
      <w:r w:rsidRPr="003B0CA8">
        <w:rPr>
          <w:rFonts w:eastAsia="Times New Roman"/>
          <w:b/>
          <w:lang w:eastAsia="ru-RU"/>
        </w:rPr>
        <w:t>Дисциплинарный комитет, посовещавшись, решил:</w:t>
      </w:r>
      <w:r w:rsidRPr="003B0CA8">
        <w:rPr>
          <w:rFonts w:eastAsia="Times New Roman"/>
          <w:lang w:eastAsia="ru-RU"/>
        </w:rPr>
        <w:t xml:space="preserve"> на основании </w:t>
      </w:r>
      <w:proofErr w:type="gramStart"/>
      <w:r w:rsidRPr="003B0CA8">
        <w:rPr>
          <w:rFonts w:eastAsia="Times New Roman"/>
          <w:lang w:eastAsia="ru-RU"/>
        </w:rPr>
        <w:t>вышеизложенного</w:t>
      </w:r>
      <w:proofErr w:type="gramEnd"/>
      <w:r w:rsidRPr="003B0CA8">
        <w:rPr>
          <w:rFonts w:eastAsia="Times New Roman"/>
          <w:u w:val="single"/>
          <w:lang w:eastAsia="ru-RU"/>
        </w:rPr>
        <w:t>,</w:t>
      </w:r>
      <w:r w:rsidRPr="003B0CA8">
        <w:rPr>
          <w:rFonts w:eastAsia="Times New Roman"/>
          <w:lang w:eastAsia="ru-RU"/>
        </w:rPr>
        <w:t xml:space="preserve"> </w:t>
      </w:r>
      <w:r w:rsidRPr="003B0CA8">
        <w:rPr>
          <w:rFonts w:eastAsia="Times New Roman"/>
          <w:lang w:eastAsia="ru-RU"/>
        </w:rPr>
        <w:lastRenderedPageBreak/>
        <w:t xml:space="preserve">руководствуясь п. 6, </w:t>
      </w:r>
      <w:proofErr w:type="spellStart"/>
      <w:r w:rsidRPr="003B0CA8">
        <w:rPr>
          <w:rFonts w:eastAsia="Times New Roman"/>
          <w:lang w:eastAsia="ru-RU"/>
        </w:rPr>
        <w:t>п.п</w:t>
      </w:r>
      <w:proofErr w:type="spellEnd"/>
      <w:r w:rsidRPr="003B0CA8">
        <w:rPr>
          <w:rFonts w:eastAsia="Times New Roman"/>
          <w:lang w:eastAsia="ru-RU"/>
        </w:rPr>
        <w:t>. 6.1. П-6 Положения «О системе мер дисциплинарного воздействия за несоблюдением членами Союза «КОП» требований к выдаче свидетельства о допуске, правил контроля в области саморегулирования, требований технических регламентов, требований стандартов и правил саморегулирования»,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w:t>
      </w:r>
    </w:p>
    <w:p w:rsidR="00D7760F" w:rsidRPr="003B0CA8" w:rsidRDefault="00D7760F" w:rsidP="00D7760F">
      <w:pPr>
        <w:autoSpaceDE w:val="0"/>
        <w:autoSpaceDN w:val="0"/>
        <w:adjustRightInd w:val="0"/>
        <w:jc w:val="both"/>
        <w:rPr>
          <w:rFonts w:eastAsia="Times New Roman"/>
          <w:lang w:eastAsia="ru-RU"/>
        </w:rPr>
      </w:pPr>
    </w:p>
    <w:p w:rsidR="00D7760F" w:rsidRPr="003B0CA8" w:rsidRDefault="00D7760F" w:rsidP="00D7760F">
      <w:pPr>
        <w:jc w:val="both"/>
      </w:pPr>
      <w:r w:rsidRPr="003B0CA8">
        <w:rPr>
          <w:b/>
        </w:rPr>
        <w:t xml:space="preserve">       Проголосовали:</w:t>
      </w:r>
      <w:r w:rsidRPr="003B0CA8">
        <w:t xml:space="preserve">     «за» - единогласно</w:t>
      </w:r>
    </w:p>
    <w:p w:rsidR="00D7760F" w:rsidRPr="003B0CA8" w:rsidRDefault="00D7760F" w:rsidP="00D7760F">
      <w:pPr>
        <w:jc w:val="both"/>
      </w:pPr>
      <w:r w:rsidRPr="003B0CA8">
        <w:tab/>
      </w:r>
      <w:r w:rsidRPr="003B0CA8">
        <w:tab/>
        <w:t xml:space="preserve">                «против» - нет</w:t>
      </w:r>
    </w:p>
    <w:p w:rsidR="00D7760F" w:rsidRPr="003B0CA8" w:rsidRDefault="00D7760F" w:rsidP="00D7760F">
      <w:pPr>
        <w:jc w:val="both"/>
      </w:pPr>
      <w:r w:rsidRPr="003B0CA8">
        <w:tab/>
      </w:r>
      <w:r w:rsidRPr="003B0CA8">
        <w:tab/>
        <w:t xml:space="preserve">                «воздержались» - нет  </w:t>
      </w:r>
    </w:p>
    <w:p w:rsidR="00D7760F" w:rsidRPr="003B0CA8" w:rsidRDefault="00D7760F" w:rsidP="00D7760F">
      <w:pPr>
        <w:jc w:val="both"/>
      </w:pPr>
    </w:p>
    <w:p w:rsidR="00D7760F" w:rsidRPr="003B0CA8" w:rsidRDefault="00D7760F" w:rsidP="00D7760F">
      <w:pPr>
        <w:autoSpaceDE w:val="0"/>
        <w:autoSpaceDN w:val="0"/>
        <w:adjustRightInd w:val="0"/>
        <w:jc w:val="both"/>
        <w:rPr>
          <w:rFonts w:eastAsia="Times New Roman"/>
          <w:lang w:eastAsia="ru-RU"/>
        </w:rPr>
      </w:pPr>
      <w:r w:rsidRPr="003B0CA8">
        <w:rPr>
          <w:rFonts w:eastAsia="Times New Roman"/>
          <w:b/>
          <w:lang w:eastAsia="ru-RU"/>
        </w:rPr>
        <w:t>Постановили:</w:t>
      </w:r>
      <w:r w:rsidRPr="003B0CA8">
        <w:rPr>
          <w:rFonts w:eastAsia="Times New Roman"/>
          <w:lang w:eastAsia="ru-RU"/>
        </w:rPr>
        <w:t xml:space="preserve">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w:t>
      </w:r>
      <w:r>
        <w:rPr>
          <w:rFonts w:eastAsia="Times New Roman"/>
          <w:lang w:eastAsia="ru-RU"/>
        </w:rPr>
        <w:t>нижеуказанным</w:t>
      </w:r>
      <w:r w:rsidRPr="003B0CA8">
        <w:rPr>
          <w:rFonts w:eastAsia="Times New Roman"/>
          <w:lang w:eastAsia="ru-RU"/>
        </w:rPr>
        <w:t xml:space="preserve">  членам Союза:</w:t>
      </w:r>
    </w:p>
    <w:p w:rsidR="00D7760F" w:rsidRPr="003B0CA8" w:rsidRDefault="00D7760F" w:rsidP="00D7760F"/>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1985"/>
        <w:gridCol w:w="1701"/>
      </w:tblGrid>
      <w:tr w:rsidR="00D7760F" w:rsidRPr="003B0CA8" w:rsidTr="001F11FF">
        <w:trPr>
          <w:trHeight w:val="20"/>
        </w:trPr>
        <w:tc>
          <w:tcPr>
            <w:tcW w:w="993" w:type="dxa"/>
            <w:shd w:val="clear" w:color="auto" w:fill="auto"/>
            <w:vAlign w:val="center"/>
            <w:hideMark/>
          </w:tcPr>
          <w:p w:rsidR="00D7760F" w:rsidRPr="003B0CA8" w:rsidRDefault="00D7760F" w:rsidP="001F11FF">
            <w:pPr>
              <w:jc w:val="center"/>
              <w:rPr>
                <w:rFonts w:eastAsia="Times New Roman"/>
                <w:b/>
                <w:bCs/>
                <w:lang w:eastAsia="ru-RU"/>
              </w:rPr>
            </w:pPr>
            <w:r w:rsidRPr="003B0CA8">
              <w:rPr>
                <w:rFonts w:eastAsia="Times New Roman"/>
                <w:b/>
                <w:bCs/>
                <w:lang w:eastAsia="ru-RU"/>
              </w:rPr>
              <w:t>Номер п\</w:t>
            </w:r>
            <w:proofErr w:type="gramStart"/>
            <w:r w:rsidRPr="003B0CA8">
              <w:rPr>
                <w:rFonts w:eastAsia="Times New Roman"/>
                <w:b/>
                <w:bCs/>
                <w:lang w:eastAsia="ru-RU"/>
              </w:rPr>
              <w:t>п</w:t>
            </w:r>
            <w:proofErr w:type="gramEnd"/>
          </w:p>
        </w:tc>
        <w:tc>
          <w:tcPr>
            <w:tcW w:w="4819" w:type="dxa"/>
            <w:shd w:val="clear" w:color="auto" w:fill="auto"/>
            <w:vAlign w:val="center"/>
            <w:hideMark/>
          </w:tcPr>
          <w:p w:rsidR="00D7760F" w:rsidRPr="003B0CA8" w:rsidRDefault="00D7760F" w:rsidP="001F11FF">
            <w:pPr>
              <w:jc w:val="center"/>
              <w:rPr>
                <w:rFonts w:eastAsia="Times New Roman"/>
                <w:b/>
                <w:bCs/>
                <w:lang w:eastAsia="ru-RU"/>
              </w:rPr>
            </w:pPr>
            <w:r w:rsidRPr="003B0CA8">
              <w:rPr>
                <w:rFonts w:eastAsia="Times New Roman"/>
                <w:b/>
                <w:bCs/>
                <w:lang w:eastAsia="ru-RU"/>
              </w:rPr>
              <w:t>Наименование</w:t>
            </w:r>
          </w:p>
        </w:tc>
        <w:tc>
          <w:tcPr>
            <w:tcW w:w="1985" w:type="dxa"/>
            <w:shd w:val="clear" w:color="auto" w:fill="auto"/>
            <w:vAlign w:val="center"/>
            <w:hideMark/>
          </w:tcPr>
          <w:p w:rsidR="00D7760F" w:rsidRPr="003B0CA8" w:rsidRDefault="00D7760F" w:rsidP="001F11FF">
            <w:pPr>
              <w:jc w:val="center"/>
              <w:rPr>
                <w:rFonts w:eastAsia="Times New Roman"/>
                <w:b/>
                <w:bCs/>
                <w:lang w:eastAsia="ru-RU"/>
              </w:rPr>
            </w:pPr>
            <w:r w:rsidRPr="003B0CA8">
              <w:rPr>
                <w:rFonts w:eastAsia="Times New Roman"/>
                <w:b/>
                <w:bCs/>
                <w:lang w:eastAsia="ru-RU"/>
              </w:rPr>
              <w:t>ИНН</w:t>
            </w:r>
          </w:p>
        </w:tc>
        <w:tc>
          <w:tcPr>
            <w:tcW w:w="1701" w:type="dxa"/>
            <w:shd w:val="clear" w:color="auto" w:fill="auto"/>
            <w:vAlign w:val="center"/>
            <w:hideMark/>
          </w:tcPr>
          <w:p w:rsidR="00D7760F" w:rsidRPr="003B0CA8" w:rsidRDefault="00D7760F" w:rsidP="001F11FF">
            <w:pPr>
              <w:jc w:val="center"/>
              <w:rPr>
                <w:rFonts w:eastAsia="Times New Roman"/>
                <w:b/>
                <w:bCs/>
                <w:lang w:eastAsia="ru-RU"/>
              </w:rPr>
            </w:pPr>
            <w:r w:rsidRPr="003B0CA8">
              <w:rPr>
                <w:rFonts w:eastAsia="Times New Roman"/>
                <w:b/>
                <w:bCs/>
                <w:lang w:eastAsia="ru-RU"/>
              </w:rPr>
              <w:t xml:space="preserve">Срок устранения, </w:t>
            </w:r>
            <w:proofErr w:type="gramStart"/>
            <w:r w:rsidRPr="003B0CA8">
              <w:rPr>
                <w:rFonts w:eastAsia="Times New Roman"/>
                <w:b/>
                <w:bCs/>
                <w:lang w:eastAsia="ru-RU"/>
              </w:rPr>
              <w:t>до</w:t>
            </w:r>
            <w:proofErr w:type="gramEnd"/>
            <w:r w:rsidRPr="003B0CA8">
              <w:rPr>
                <w:rFonts w:eastAsia="Times New Roman"/>
                <w:b/>
                <w:bCs/>
                <w:lang w:eastAsia="ru-RU"/>
              </w:rPr>
              <w:t>:</w:t>
            </w:r>
          </w:p>
        </w:tc>
      </w:tr>
      <w:tr w:rsidR="00E526DE" w:rsidRPr="003B0CA8" w:rsidTr="001F11FF">
        <w:trPr>
          <w:trHeight w:val="20"/>
        </w:trPr>
        <w:tc>
          <w:tcPr>
            <w:tcW w:w="993" w:type="dxa"/>
            <w:shd w:val="clear" w:color="auto" w:fill="auto"/>
            <w:vAlign w:val="center"/>
          </w:tcPr>
          <w:p w:rsidR="00E526DE" w:rsidRPr="003B0CA8" w:rsidRDefault="00E526DE" w:rsidP="001F11FF">
            <w:pPr>
              <w:jc w:val="center"/>
              <w:rPr>
                <w:rFonts w:eastAsia="Times New Roman"/>
                <w:lang w:eastAsia="ru-RU"/>
              </w:rPr>
            </w:pPr>
            <w:r w:rsidRPr="003B0CA8">
              <w:rPr>
                <w:rFonts w:eastAsia="Times New Roman"/>
                <w:lang w:eastAsia="ru-RU"/>
              </w:rPr>
              <w:t>1</w:t>
            </w:r>
          </w:p>
        </w:tc>
        <w:tc>
          <w:tcPr>
            <w:tcW w:w="4819" w:type="dxa"/>
            <w:shd w:val="clear" w:color="auto" w:fill="auto"/>
            <w:vAlign w:val="center"/>
          </w:tcPr>
          <w:p w:rsidR="00E526DE" w:rsidRPr="00914471" w:rsidRDefault="00E526DE" w:rsidP="001F11FF">
            <w:r w:rsidRPr="006B236F">
              <w:t>ООО "</w:t>
            </w:r>
            <w:proofErr w:type="spellStart"/>
            <w:r w:rsidRPr="006B236F">
              <w:t>КубаньЭнергоПроект</w:t>
            </w:r>
            <w:proofErr w:type="spellEnd"/>
            <w:r w:rsidRPr="006B236F">
              <w:t>"</w:t>
            </w:r>
          </w:p>
        </w:tc>
        <w:tc>
          <w:tcPr>
            <w:tcW w:w="1985" w:type="dxa"/>
            <w:shd w:val="clear" w:color="auto" w:fill="auto"/>
            <w:vAlign w:val="center"/>
          </w:tcPr>
          <w:p w:rsidR="00E526DE" w:rsidRPr="00914471" w:rsidRDefault="00E526DE" w:rsidP="001F11FF">
            <w:r w:rsidRPr="006B236F">
              <w:t>2308041740</w:t>
            </w:r>
          </w:p>
        </w:tc>
        <w:tc>
          <w:tcPr>
            <w:tcW w:w="1701" w:type="dxa"/>
            <w:shd w:val="clear" w:color="auto" w:fill="auto"/>
            <w:vAlign w:val="center"/>
            <w:hideMark/>
          </w:tcPr>
          <w:p w:rsidR="00E526DE" w:rsidRPr="003B0CA8" w:rsidRDefault="00E526DE" w:rsidP="001F11FF">
            <w:pPr>
              <w:jc w:val="center"/>
            </w:pPr>
            <w:r>
              <w:t>09.08.2016</w:t>
            </w:r>
          </w:p>
        </w:tc>
      </w:tr>
      <w:tr w:rsidR="00E526DE" w:rsidRPr="003B0CA8" w:rsidTr="001F11FF">
        <w:trPr>
          <w:trHeight w:val="20"/>
        </w:trPr>
        <w:tc>
          <w:tcPr>
            <w:tcW w:w="993" w:type="dxa"/>
            <w:shd w:val="clear" w:color="auto" w:fill="auto"/>
            <w:vAlign w:val="center"/>
          </w:tcPr>
          <w:p w:rsidR="00E526DE" w:rsidRPr="003B0CA8" w:rsidRDefault="00E526DE" w:rsidP="001F11FF">
            <w:pPr>
              <w:jc w:val="center"/>
              <w:rPr>
                <w:rFonts w:eastAsia="Times New Roman"/>
                <w:lang w:eastAsia="ru-RU"/>
              </w:rPr>
            </w:pPr>
            <w:r>
              <w:rPr>
                <w:rFonts w:eastAsia="Times New Roman"/>
                <w:lang w:eastAsia="ru-RU"/>
              </w:rPr>
              <w:t>2</w:t>
            </w:r>
          </w:p>
        </w:tc>
        <w:tc>
          <w:tcPr>
            <w:tcW w:w="4819" w:type="dxa"/>
            <w:shd w:val="clear" w:color="auto" w:fill="auto"/>
            <w:vAlign w:val="center"/>
          </w:tcPr>
          <w:p w:rsidR="00E526DE" w:rsidRPr="003B0CA8" w:rsidRDefault="00E526DE" w:rsidP="001F11FF">
            <w:r w:rsidRPr="00914471">
              <w:t>ООО "Мастер-Центр Плюс"</w:t>
            </w:r>
          </w:p>
        </w:tc>
        <w:tc>
          <w:tcPr>
            <w:tcW w:w="1985" w:type="dxa"/>
            <w:shd w:val="clear" w:color="auto" w:fill="auto"/>
            <w:vAlign w:val="center"/>
          </w:tcPr>
          <w:p w:rsidR="00E526DE" w:rsidRPr="003B0CA8" w:rsidRDefault="00E526DE" w:rsidP="001F11FF">
            <w:r w:rsidRPr="00914471">
              <w:t>2308131850</w:t>
            </w:r>
          </w:p>
        </w:tc>
        <w:tc>
          <w:tcPr>
            <w:tcW w:w="1701" w:type="dxa"/>
            <w:shd w:val="clear" w:color="auto" w:fill="auto"/>
            <w:vAlign w:val="center"/>
          </w:tcPr>
          <w:p w:rsidR="00E526DE" w:rsidRPr="003B0CA8" w:rsidRDefault="00E526DE" w:rsidP="001F11FF">
            <w:pPr>
              <w:jc w:val="center"/>
            </w:pPr>
            <w:r>
              <w:t>09.08.2016</w:t>
            </w:r>
          </w:p>
        </w:tc>
      </w:tr>
    </w:tbl>
    <w:p w:rsidR="00C62923" w:rsidRDefault="00C62923"/>
    <w:p w:rsidR="00020931" w:rsidRPr="00B20A98" w:rsidRDefault="00020931" w:rsidP="00020931">
      <w:pPr>
        <w:jc w:val="both"/>
      </w:pPr>
      <w:r w:rsidRPr="00B20A98">
        <w:rPr>
          <w:b/>
          <w:i/>
        </w:rPr>
        <w:t xml:space="preserve">По </w:t>
      </w:r>
      <w:r>
        <w:rPr>
          <w:b/>
          <w:i/>
        </w:rPr>
        <w:t>второму</w:t>
      </w:r>
      <w:r w:rsidRPr="00B20A98">
        <w:rPr>
          <w:b/>
          <w:i/>
        </w:rPr>
        <w:t xml:space="preserve"> вопросу</w:t>
      </w:r>
      <w:r w:rsidRPr="00B20A98">
        <w:rPr>
          <w:b/>
        </w:rPr>
        <w:t xml:space="preserve"> слушали: </w:t>
      </w:r>
      <w:proofErr w:type="gramStart"/>
      <w:r w:rsidRPr="00B20A98">
        <w:rPr>
          <w:b/>
        </w:rPr>
        <w:t>Асланова В.Б</w:t>
      </w:r>
      <w:r w:rsidRPr="00B20A98">
        <w:t xml:space="preserve">., который огласил </w:t>
      </w:r>
      <w:r>
        <w:t xml:space="preserve">нижеследующий </w:t>
      </w:r>
      <w:r w:rsidRPr="00B20A98">
        <w:t>список членов саморегулируемой организации, в отношении которых, согласно предоставленным актам проверок членов Союза «КОП» (прилагаются), выявлены н</w:t>
      </w:r>
      <w:r>
        <w:t>арушения соблюдения требований к</w:t>
      </w:r>
      <w:r w:rsidRPr="00B20A98">
        <w:t xml:space="preserve"> выдаче Свидетельства о допуске к определенному виду или видам работ, которые оказывают влияние на безопасность объектов капитального строительства, но, которые в срок, до проведения настоящего заседания,  добровольно устранили выявленные в ходе проверки организации нарушения:</w:t>
      </w:r>
      <w:proofErr w:type="gramEnd"/>
    </w:p>
    <w:p w:rsidR="00020931" w:rsidRPr="00B20A98" w:rsidRDefault="00020931" w:rsidP="00020931">
      <w:pPr>
        <w:ind w:firstLine="360"/>
        <w:jc w:val="both"/>
      </w:pPr>
    </w:p>
    <w:tbl>
      <w:tblPr>
        <w:tblW w:w="9351" w:type="dxa"/>
        <w:tblInd w:w="113" w:type="dxa"/>
        <w:tblLook w:val="04A0" w:firstRow="1" w:lastRow="0" w:firstColumn="1" w:lastColumn="0" w:noHBand="0" w:noVBand="1"/>
      </w:tblPr>
      <w:tblGrid>
        <w:gridCol w:w="927"/>
        <w:gridCol w:w="6723"/>
        <w:gridCol w:w="1701"/>
      </w:tblGrid>
      <w:tr w:rsidR="00020931" w:rsidRPr="00B20A98" w:rsidTr="001F11FF">
        <w:trPr>
          <w:trHeight w:val="20"/>
        </w:trPr>
        <w:tc>
          <w:tcPr>
            <w:tcW w:w="927" w:type="dxa"/>
            <w:tcBorders>
              <w:top w:val="single" w:sz="4" w:space="0" w:color="auto"/>
              <w:left w:val="single" w:sz="4" w:space="0" w:color="auto"/>
              <w:bottom w:val="single" w:sz="4" w:space="0" w:color="auto"/>
              <w:right w:val="nil"/>
            </w:tcBorders>
            <w:vAlign w:val="center"/>
            <w:hideMark/>
          </w:tcPr>
          <w:p w:rsidR="00020931" w:rsidRPr="00B20A98" w:rsidRDefault="00020931" w:rsidP="001F11FF">
            <w:pPr>
              <w:jc w:val="center"/>
              <w:rPr>
                <w:rFonts w:eastAsia="Times New Roman"/>
                <w:b/>
                <w:bCs/>
              </w:rPr>
            </w:pPr>
            <w:r w:rsidRPr="00B20A98">
              <w:rPr>
                <w:rFonts w:eastAsia="Times New Roman"/>
                <w:b/>
                <w:bCs/>
              </w:rPr>
              <w:t>Номер п\</w:t>
            </w:r>
            <w:proofErr w:type="gramStart"/>
            <w:r w:rsidRPr="00B20A98">
              <w:rPr>
                <w:rFonts w:eastAsia="Times New Roman"/>
                <w:b/>
                <w:bCs/>
              </w:rPr>
              <w:t>п</w:t>
            </w:r>
            <w:proofErr w:type="gramEnd"/>
          </w:p>
        </w:tc>
        <w:tc>
          <w:tcPr>
            <w:tcW w:w="6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931" w:rsidRPr="00B20A98" w:rsidRDefault="00020931" w:rsidP="001F11FF">
            <w:pPr>
              <w:jc w:val="center"/>
              <w:rPr>
                <w:rFonts w:eastAsia="Times New Roman"/>
                <w:b/>
                <w:bCs/>
              </w:rPr>
            </w:pPr>
            <w:r w:rsidRPr="00B20A98">
              <w:rPr>
                <w:rFonts w:eastAsia="Times New Roman"/>
                <w:b/>
                <w:bCs/>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020931" w:rsidRPr="00B20A98" w:rsidRDefault="00020931" w:rsidP="001F11FF">
            <w:pPr>
              <w:jc w:val="center"/>
              <w:rPr>
                <w:rFonts w:eastAsia="Times New Roman"/>
                <w:b/>
                <w:bCs/>
              </w:rPr>
            </w:pPr>
            <w:r w:rsidRPr="00B20A98">
              <w:rPr>
                <w:rFonts w:eastAsia="Times New Roman"/>
                <w:b/>
                <w:bCs/>
              </w:rPr>
              <w:t>ИНН</w:t>
            </w:r>
          </w:p>
        </w:tc>
      </w:tr>
      <w:tr w:rsidR="00020931" w:rsidRPr="00B20A98" w:rsidTr="001F11FF">
        <w:trPr>
          <w:trHeight w:val="20"/>
        </w:trPr>
        <w:tc>
          <w:tcPr>
            <w:tcW w:w="927" w:type="dxa"/>
            <w:tcBorders>
              <w:top w:val="single" w:sz="4" w:space="0" w:color="auto"/>
              <w:left w:val="single" w:sz="4" w:space="0" w:color="auto"/>
              <w:bottom w:val="single" w:sz="4" w:space="0" w:color="auto"/>
              <w:right w:val="single" w:sz="4" w:space="0" w:color="auto"/>
            </w:tcBorders>
            <w:vAlign w:val="center"/>
          </w:tcPr>
          <w:p w:rsidR="00020931" w:rsidRPr="00B20A98" w:rsidRDefault="00020931" w:rsidP="001F11FF">
            <w:pPr>
              <w:numPr>
                <w:ilvl w:val="0"/>
                <w:numId w:val="1"/>
              </w:numPr>
              <w:jc w:val="center"/>
              <w:rPr>
                <w:rFonts w:eastAsia="Times New Roman"/>
                <w:lang w:val="en-US"/>
              </w:rPr>
            </w:pPr>
          </w:p>
        </w:tc>
        <w:tc>
          <w:tcPr>
            <w:tcW w:w="6723" w:type="dxa"/>
            <w:tcBorders>
              <w:top w:val="single" w:sz="4" w:space="0" w:color="auto"/>
              <w:left w:val="nil"/>
              <w:bottom w:val="single" w:sz="4" w:space="0" w:color="auto"/>
              <w:right w:val="single" w:sz="4" w:space="0" w:color="auto"/>
            </w:tcBorders>
            <w:vAlign w:val="center"/>
          </w:tcPr>
          <w:p w:rsidR="00020931" w:rsidRPr="00B20A98" w:rsidRDefault="00A17108" w:rsidP="001F11FF">
            <w:pPr>
              <w:rPr>
                <w:rFonts w:eastAsia="Times New Roman"/>
              </w:rPr>
            </w:pPr>
            <w:r w:rsidRPr="00A17108">
              <w:rPr>
                <w:rFonts w:eastAsia="Times New Roman"/>
              </w:rPr>
              <w:t>ООО "Специализированная экспертная организация РЦСЭ"</w:t>
            </w:r>
          </w:p>
        </w:tc>
        <w:tc>
          <w:tcPr>
            <w:tcW w:w="1701" w:type="dxa"/>
            <w:tcBorders>
              <w:top w:val="single" w:sz="4" w:space="0" w:color="auto"/>
              <w:left w:val="nil"/>
              <w:bottom w:val="single" w:sz="4" w:space="0" w:color="auto"/>
              <w:right w:val="single" w:sz="4" w:space="0" w:color="auto"/>
            </w:tcBorders>
            <w:vAlign w:val="center"/>
          </w:tcPr>
          <w:p w:rsidR="00020931" w:rsidRPr="00B20A98" w:rsidRDefault="00A17108" w:rsidP="001F11FF">
            <w:pPr>
              <w:rPr>
                <w:kern w:val="2"/>
              </w:rPr>
            </w:pPr>
            <w:r w:rsidRPr="00A17108">
              <w:rPr>
                <w:kern w:val="2"/>
              </w:rPr>
              <w:t>2313022976</w:t>
            </w:r>
          </w:p>
        </w:tc>
      </w:tr>
    </w:tbl>
    <w:p w:rsidR="00020931" w:rsidRPr="00B20A98" w:rsidRDefault="00020931" w:rsidP="00020931">
      <w:pPr>
        <w:ind w:firstLine="360"/>
        <w:jc w:val="both"/>
      </w:pPr>
    </w:p>
    <w:p w:rsidR="00020931" w:rsidRPr="00B20A98" w:rsidRDefault="00020931" w:rsidP="00020931">
      <w:pPr>
        <w:jc w:val="both"/>
      </w:pPr>
      <w:r w:rsidRPr="00B20A98">
        <w:rPr>
          <w:b/>
        </w:rPr>
        <w:t>Дисциплинарный комитет, посовещавшись, решил:</w:t>
      </w:r>
      <w:r w:rsidRPr="00B20A98">
        <w:t xml:space="preserve"> на основании </w:t>
      </w:r>
      <w:proofErr w:type="gramStart"/>
      <w:r w:rsidRPr="00B20A98">
        <w:t>вышеизложенного</w:t>
      </w:r>
      <w:proofErr w:type="gramEnd"/>
      <w:r w:rsidRPr="00B20A98">
        <w:t xml:space="preserve">, руководствуясь </w:t>
      </w:r>
      <w:r w:rsidRPr="00B20A98">
        <w:rPr>
          <w:rFonts w:eastAsia="Arial Unicode MS"/>
          <w:lang w:eastAsia="ru-RU"/>
        </w:rPr>
        <w:t xml:space="preserve">п. 5.1. П-6 </w:t>
      </w:r>
      <w:r w:rsidRPr="00B20A98">
        <w:t xml:space="preserve"> Положения «О системе мер дисциплинарного воздействия за несоблюдением членами Союза «КОП» требований к выдаче свидетельства о допуске, правил контроля в области саморегулирования, требований технических регламентов, требований стандартов и правил саморегулирования», применить к вышеуказанным членам  меру дисциплинарного воздействия в виде вынесения предупреждения.</w:t>
      </w:r>
    </w:p>
    <w:p w:rsidR="00020931" w:rsidRPr="00B20A98" w:rsidRDefault="00020931" w:rsidP="00020931">
      <w:pPr>
        <w:jc w:val="both"/>
      </w:pPr>
    </w:p>
    <w:p w:rsidR="00020931" w:rsidRPr="00B20A98" w:rsidRDefault="00020931" w:rsidP="00020931">
      <w:pPr>
        <w:jc w:val="both"/>
      </w:pPr>
      <w:r w:rsidRPr="00B20A98">
        <w:rPr>
          <w:b/>
        </w:rPr>
        <w:t xml:space="preserve">       Проголосовали:</w:t>
      </w:r>
      <w:r w:rsidRPr="00B20A98">
        <w:t xml:space="preserve">     «за» - единогласно</w:t>
      </w:r>
    </w:p>
    <w:p w:rsidR="00020931" w:rsidRPr="00B20A98" w:rsidRDefault="00020931" w:rsidP="00020931">
      <w:pPr>
        <w:jc w:val="both"/>
      </w:pPr>
      <w:r w:rsidRPr="00B20A98">
        <w:tab/>
      </w:r>
      <w:r w:rsidRPr="00B20A98">
        <w:tab/>
        <w:t xml:space="preserve">                «против» - нет</w:t>
      </w:r>
    </w:p>
    <w:p w:rsidR="00020931" w:rsidRPr="00B20A98" w:rsidRDefault="00020931" w:rsidP="00020931">
      <w:pPr>
        <w:jc w:val="both"/>
      </w:pPr>
      <w:r w:rsidRPr="00B20A98">
        <w:tab/>
      </w:r>
      <w:r w:rsidRPr="00B20A98">
        <w:tab/>
        <w:t xml:space="preserve">                «воздержались» - нет  </w:t>
      </w:r>
    </w:p>
    <w:p w:rsidR="00020931" w:rsidRPr="00B20A98" w:rsidRDefault="00020931" w:rsidP="00020931">
      <w:pPr>
        <w:jc w:val="both"/>
      </w:pPr>
    </w:p>
    <w:p w:rsidR="00020931" w:rsidRPr="00B20A98" w:rsidRDefault="00020931" w:rsidP="00020931">
      <w:pPr>
        <w:jc w:val="both"/>
      </w:pPr>
    </w:p>
    <w:p w:rsidR="00020931" w:rsidRPr="00B20A98" w:rsidRDefault="00020931" w:rsidP="00020931">
      <w:pPr>
        <w:spacing w:after="240"/>
        <w:jc w:val="both"/>
      </w:pPr>
      <w:r w:rsidRPr="00B20A98">
        <w:rPr>
          <w:b/>
        </w:rPr>
        <w:t xml:space="preserve">Постановили: </w:t>
      </w:r>
      <w:r w:rsidRPr="00B20A98">
        <w:t xml:space="preserve">применить меру дисциплинарного воздействия в виде предупреждения к </w:t>
      </w:r>
      <w:r>
        <w:t>ниже</w:t>
      </w:r>
      <w:r w:rsidRPr="00B20A98">
        <w:t xml:space="preserve">следующим членам саморегулируемой организации: </w:t>
      </w:r>
    </w:p>
    <w:tbl>
      <w:tblPr>
        <w:tblW w:w="9351" w:type="dxa"/>
        <w:tblInd w:w="113" w:type="dxa"/>
        <w:tblLook w:val="04A0" w:firstRow="1" w:lastRow="0" w:firstColumn="1" w:lastColumn="0" w:noHBand="0" w:noVBand="1"/>
      </w:tblPr>
      <w:tblGrid>
        <w:gridCol w:w="927"/>
        <w:gridCol w:w="6723"/>
        <w:gridCol w:w="1701"/>
      </w:tblGrid>
      <w:tr w:rsidR="00020931" w:rsidRPr="00B20A98" w:rsidTr="001F11FF">
        <w:trPr>
          <w:trHeight w:val="20"/>
        </w:trPr>
        <w:tc>
          <w:tcPr>
            <w:tcW w:w="927" w:type="dxa"/>
            <w:tcBorders>
              <w:top w:val="single" w:sz="4" w:space="0" w:color="auto"/>
              <w:left w:val="single" w:sz="4" w:space="0" w:color="auto"/>
              <w:bottom w:val="single" w:sz="4" w:space="0" w:color="auto"/>
              <w:right w:val="nil"/>
            </w:tcBorders>
            <w:vAlign w:val="center"/>
            <w:hideMark/>
          </w:tcPr>
          <w:p w:rsidR="00020931" w:rsidRPr="00B20A98" w:rsidRDefault="00020931" w:rsidP="001F11FF">
            <w:pPr>
              <w:jc w:val="center"/>
              <w:rPr>
                <w:rFonts w:eastAsia="Times New Roman"/>
                <w:b/>
                <w:bCs/>
              </w:rPr>
            </w:pPr>
            <w:r w:rsidRPr="00B20A98">
              <w:rPr>
                <w:rFonts w:eastAsia="Times New Roman"/>
                <w:b/>
                <w:bCs/>
              </w:rPr>
              <w:t>Номер п\</w:t>
            </w:r>
            <w:proofErr w:type="gramStart"/>
            <w:r w:rsidRPr="00B20A98">
              <w:rPr>
                <w:rFonts w:eastAsia="Times New Roman"/>
                <w:b/>
                <w:bCs/>
              </w:rPr>
              <w:t>п</w:t>
            </w:r>
            <w:proofErr w:type="gramEnd"/>
          </w:p>
        </w:tc>
        <w:tc>
          <w:tcPr>
            <w:tcW w:w="6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931" w:rsidRPr="00B20A98" w:rsidRDefault="00020931" w:rsidP="001F11FF">
            <w:pPr>
              <w:jc w:val="center"/>
              <w:rPr>
                <w:rFonts w:eastAsia="Times New Roman"/>
                <w:b/>
                <w:bCs/>
              </w:rPr>
            </w:pPr>
            <w:r w:rsidRPr="00B20A98">
              <w:rPr>
                <w:rFonts w:eastAsia="Times New Roman"/>
                <w:b/>
                <w:bCs/>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020931" w:rsidRPr="00B20A98" w:rsidRDefault="00020931" w:rsidP="001F11FF">
            <w:pPr>
              <w:jc w:val="center"/>
              <w:rPr>
                <w:rFonts w:eastAsia="Times New Roman"/>
                <w:b/>
                <w:bCs/>
              </w:rPr>
            </w:pPr>
            <w:r w:rsidRPr="00B20A98">
              <w:rPr>
                <w:rFonts w:eastAsia="Times New Roman"/>
                <w:b/>
                <w:bCs/>
              </w:rPr>
              <w:t>ИНН</w:t>
            </w:r>
          </w:p>
        </w:tc>
      </w:tr>
      <w:tr w:rsidR="00020931" w:rsidRPr="00B20A98" w:rsidTr="001F11FF">
        <w:trPr>
          <w:trHeight w:val="20"/>
        </w:trPr>
        <w:tc>
          <w:tcPr>
            <w:tcW w:w="927" w:type="dxa"/>
            <w:tcBorders>
              <w:top w:val="single" w:sz="4" w:space="0" w:color="auto"/>
              <w:left w:val="single" w:sz="4" w:space="0" w:color="auto"/>
              <w:bottom w:val="single" w:sz="4" w:space="0" w:color="auto"/>
              <w:right w:val="single" w:sz="4" w:space="0" w:color="auto"/>
            </w:tcBorders>
            <w:vAlign w:val="center"/>
          </w:tcPr>
          <w:p w:rsidR="00020931" w:rsidRPr="00B20A98" w:rsidRDefault="00020931" w:rsidP="001F11FF">
            <w:pPr>
              <w:jc w:val="center"/>
              <w:rPr>
                <w:rFonts w:eastAsia="Times New Roman"/>
                <w:lang w:val="en-US"/>
              </w:rPr>
            </w:pPr>
            <w:r>
              <w:rPr>
                <w:rFonts w:eastAsia="Times New Roman"/>
              </w:rPr>
              <w:t>1.</w:t>
            </w:r>
          </w:p>
        </w:tc>
        <w:tc>
          <w:tcPr>
            <w:tcW w:w="6723" w:type="dxa"/>
            <w:tcBorders>
              <w:top w:val="single" w:sz="4" w:space="0" w:color="auto"/>
              <w:left w:val="nil"/>
              <w:bottom w:val="single" w:sz="4" w:space="0" w:color="auto"/>
              <w:right w:val="single" w:sz="4" w:space="0" w:color="auto"/>
            </w:tcBorders>
            <w:vAlign w:val="center"/>
          </w:tcPr>
          <w:p w:rsidR="00020931" w:rsidRPr="00B20A98" w:rsidRDefault="00A17108" w:rsidP="001F11FF">
            <w:pPr>
              <w:rPr>
                <w:rFonts w:eastAsia="Times New Roman"/>
              </w:rPr>
            </w:pPr>
            <w:r w:rsidRPr="00A17108">
              <w:rPr>
                <w:rFonts w:eastAsia="Times New Roman"/>
              </w:rPr>
              <w:t>ООО "Специализированная экспертная организация РЦСЭ"</w:t>
            </w:r>
          </w:p>
        </w:tc>
        <w:tc>
          <w:tcPr>
            <w:tcW w:w="1701" w:type="dxa"/>
            <w:tcBorders>
              <w:top w:val="single" w:sz="4" w:space="0" w:color="auto"/>
              <w:left w:val="nil"/>
              <w:bottom w:val="single" w:sz="4" w:space="0" w:color="auto"/>
              <w:right w:val="single" w:sz="4" w:space="0" w:color="auto"/>
            </w:tcBorders>
            <w:vAlign w:val="center"/>
          </w:tcPr>
          <w:p w:rsidR="00020931" w:rsidRPr="00B20A98" w:rsidRDefault="00A17108" w:rsidP="001F11FF">
            <w:pPr>
              <w:rPr>
                <w:kern w:val="2"/>
              </w:rPr>
            </w:pPr>
            <w:r w:rsidRPr="00A17108">
              <w:rPr>
                <w:kern w:val="2"/>
              </w:rPr>
              <w:t>2313022976</w:t>
            </w:r>
          </w:p>
        </w:tc>
      </w:tr>
    </w:tbl>
    <w:p w:rsidR="00020931" w:rsidRPr="00DA7E2A" w:rsidRDefault="00020931" w:rsidP="00020931">
      <w:pPr>
        <w:ind w:firstLine="567"/>
        <w:jc w:val="both"/>
        <w:rPr>
          <w:b/>
          <w:i/>
        </w:rPr>
      </w:pPr>
      <w:r w:rsidRPr="00DA7E2A">
        <w:t xml:space="preserve">Срок погашения меры дисциплинарного воздействия до </w:t>
      </w:r>
      <w:r w:rsidR="00752E60">
        <w:rPr>
          <w:b/>
          <w:i/>
        </w:rPr>
        <w:t>«12</w:t>
      </w:r>
      <w:r w:rsidRPr="00DA7E2A">
        <w:rPr>
          <w:b/>
          <w:i/>
        </w:rPr>
        <w:t xml:space="preserve">» </w:t>
      </w:r>
      <w:r w:rsidR="00752E60">
        <w:rPr>
          <w:b/>
          <w:i/>
        </w:rPr>
        <w:t>июля 2017</w:t>
      </w:r>
      <w:r w:rsidRPr="00DA7E2A">
        <w:rPr>
          <w:b/>
          <w:i/>
        </w:rPr>
        <w:t>г.</w:t>
      </w:r>
      <w:r w:rsidR="00752E60">
        <w:rPr>
          <w:b/>
          <w:i/>
        </w:rPr>
        <w:t xml:space="preserve"> </w:t>
      </w:r>
    </w:p>
    <w:p w:rsidR="00BD4C84" w:rsidRDefault="00BD4C84"/>
    <w:p w:rsidR="006129B2" w:rsidRPr="00A60A19" w:rsidRDefault="006129B2" w:rsidP="006129B2">
      <w:pPr>
        <w:spacing w:after="240"/>
        <w:ind w:firstLine="357"/>
        <w:jc w:val="both"/>
      </w:pPr>
      <w:r w:rsidRPr="00A60A19">
        <w:rPr>
          <w:b/>
          <w:i/>
        </w:rPr>
        <w:lastRenderedPageBreak/>
        <w:t xml:space="preserve">По </w:t>
      </w:r>
      <w:r>
        <w:rPr>
          <w:b/>
          <w:i/>
        </w:rPr>
        <w:t>третьему</w:t>
      </w:r>
      <w:r w:rsidRPr="00A60A19">
        <w:rPr>
          <w:b/>
          <w:i/>
        </w:rPr>
        <w:t xml:space="preserve"> вопросу</w:t>
      </w:r>
      <w:r w:rsidRPr="00A60A19">
        <w:t xml:space="preserve"> </w:t>
      </w:r>
      <w:r w:rsidRPr="00A60A19">
        <w:rPr>
          <w:b/>
          <w:i/>
        </w:rPr>
        <w:t>слушали</w:t>
      </w:r>
      <w:r w:rsidRPr="00A60A19">
        <w:t xml:space="preserve"> </w:t>
      </w:r>
      <w:r w:rsidRPr="007E3512">
        <w:rPr>
          <w:b/>
        </w:rPr>
        <w:t>Асланова В.Б</w:t>
      </w:r>
      <w:r w:rsidRPr="00A60A19">
        <w:t xml:space="preserve">., который сообщил, что </w:t>
      </w:r>
      <w:proofErr w:type="gramStart"/>
      <w:r w:rsidRPr="00A60A19">
        <w:t>согласно Актов</w:t>
      </w:r>
      <w:proofErr w:type="gramEnd"/>
      <w:r w:rsidRPr="00A60A19">
        <w:t xml:space="preserve"> внеплановых проверок (прилагается) устранены ранее выявленные нарушения, послужившие основанием для применения мер дисциплинарного взыскания в виде предписания об обязательном устранении  членом  выявленных нарушений, допущенные </w:t>
      </w:r>
      <w:r>
        <w:t>нижеследующими</w:t>
      </w:r>
      <w:r w:rsidRPr="00A60A19">
        <w:t xml:space="preserve"> членами Союза «КОП»:</w:t>
      </w:r>
    </w:p>
    <w:tbl>
      <w:tblPr>
        <w:tblW w:w="9493" w:type="dxa"/>
        <w:tblInd w:w="113" w:type="dxa"/>
        <w:tblLook w:val="04A0" w:firstRow="1" w:lastRow="0" w:firstColumn="1" w:lastColumn="0" w:noHBand="0" w:noVBand="1"/>
      </w:tblPr>
      <w:tblGrid>
        <w:gridCol w:w="980"/>
        <w:gridCol w:w="6386"/>
        <w:gridCol w:w="2127"/>
      </w:tblGrid>
      <w:tr w:rsidR="006129B2" w:rsidRPr="00A60A19" w:rsidTr="00FA11FA">
        <w:trPr>
          <w:trHeight w:val="20"/>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9B2" w:rsidRPr="00A60A19" w:rsidRDefault="006129B2" w:rsidP="00FA11FA">
            <w:pPr>
              <w:jc w:val="center"/>
              <w:rPr>
                <w:rFonts w:eastAsia="Times New Roman"/>
                <w:b/>
                <w:bCs/>
                <w:lang w:eastAsia="ru-RU"/>
              </w:rPr>
            </w:pPr>
            <w:r w:rsidRPr="00A60A19">
              <w:rPr>
                <w:rFonts w:eastAsia="Times New Roman"/>
                <w:b/>
                <w:bCs/>
              </w:rPr>
              <w:t>Номер п\</w:t>
            </w:r>
            <w:proofErr w:type="gramStart"/>
            <w:r w:rsidRPr="00A60A19">
              <w:rPr>
                <w:rFonts w:eastAsia="Times New Roman"/>
                <w:b/>
                <w:bCs/>
              </w:rPr>
              <w:t>п</w:t>
            </w:r>
            <w:proofErr w:type="gramEnd"/>
            <w:r w:rsidRPr="00A60A19">
              <w:rPr>
                <w:b/>
              </w:rPr>
              <w:t xml:space="preserve">      </w:t>
            </w:r>
          </w:p>
        </w:tc>
        <w:tc>
          <w:tcPr>
            <w:tcW w:w="6386" w:type="dxa"/>
            <w:tcBorders>
              <w:top w:val="single" w:sz="4" w:space="0" w:color="auto"/>
              <w:left w:val="nil"/>
              <w:bottom w:val="single" w:sz="4" w:space="0" w:color="auto"/>
              <w:right w:val="single" w:sz="4" w:space="0" w:color="auto"/>
            </w:tcBorders>
            <w:shd w:val="clear" w:color="000000" w:fill="FFFFFF"/>
            <w:vAlign w:val="center"/>
            <w:hideMark/>
          </w:tcPr>
          <w:p w:rsidR="006129B2" w:rsidRPr="00A60A19" w:rsidRDefault="006129B2" w:rsidP="00FA11FA">
            <w:pPr>
              <w:jc w:val="center"/>
              <w:rPr>
                <w:rFonts w:eastAsia="Times New Roman"/>
                <w:b/>
                <w:bCs/>
                <w:lang w:eastAsia="ru-RU"/>
              </w:rPr>
            </w:pPr>
            <w:r w:rsidRPr="00A60A19">
              <w:rPr>
                <w:rFonts w:eastAsia="Times New Roman"/>
                <w:b/>
                <w:bCs/>
                <w:lang w:eastAsia="ru-RU"/>
              </w:rPr>
              <w:t>Наименование организации</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6129B2" w:rsidRPr="00A60A19" w:rsidRDefault="006129B2" w:rsidP="00FA11FA">
            <w:pPr>
              <w:jc w:val="center"/>
              <w:rPr>
                <w:rFonts w:eastAsia="Times New Roman"/>
                <w:b/>
                <w:bCs/>
                <w:lang w:eastAsia="ru-RU"/>
              </w:rPr>
            </w:pPr>
            <w:r w:rsidRPr="00A60A19">
              <w:rPr>
                <w:rFonts w:eastAsia="Times New Roman"/>
                <w:b/>
                <w:bCs/>
                <w:lang w:eastAsia="ru-RU"/>
              </w:rPr>
              <w:t>ИНН</w:t>
            </w:r>
          </w:p>
        </w:tc>
      </w:tr>
      <w:tr w:rsidR="006129B2" w:rsidRPr="00A60A19" w:rsidTr="00FA11FA">
        <w:trPr>
          <w:trHeight w:val="20"/>
        </w:trPr>
        <w:tc>
          <w:tcPr>
            <w:tcW w:w="980" w:type="dxa"/>
            <w:tcBorders>
              <w:top w:val="nil"/>
              <w:left w:val="single" w:sz="4" w:space="0" w:color="auto"/>
              <w:bottom w:val="single" w:sz="4" w:space="0" w:color="auto"/>
              <w:right w:val="single" w:sz="4" w:space="0" w:color="auto"/>
            </w:tcBorders>
            <w:shd w:val="clear" w:color="000000" w:fill="FFFFFF"/>
            <w:vAlign w:val="center"/>
          </w:tcPr>
          <w:p w:rsidR="006129B2" w:rsidRPr="00A60A19" w:rsidRDefault="006129B2" w:rsidP="006129B2">
            <w:pPr>
              <w:numPr>
                <w:ilvl w:val="0"/>
                <w:numId w:val="3"/>
              </w:numPr>
              <w:jc w:val="center"/>
              <w:rPr>
                <w:rFonts w:eastAsia="Times New Roman"/>
                <w:lang w:eastAsia="ru-RU"/>
              </w:rPr>
            </w:pPr>
          </w:p>
        </w:tc>
        <w:tc>
          <w:tcPr>
            <w:tcW w:w="6386" w:type="dxa"/>
            <w:tcBorders>
              <w:top w:val="nil"/>
              <w:left w:val="nil"/>
              <w:bottom w:val="single" w:sz="4" w:space="0" w:color="auto"/>
              <w:right w:val="single" w:sz="4" w:space="0" w:color="auto"/>
            </w:tcBorders>
            <w:shd w:val="clear" w:color="auto" w:fill="auto"/>
            <w:vAlign w:val="center"/>
          </w:tcPr>
          <w:p w:rsidR="006129B2" w:rsidRPr="00A60A19" w:rsidRDefault="00BD2D63" w:rsidP="00FA11FA">
            <w:pPr>
              <w:rPr>
                <w:rFonts w:eastAsia="Times New Roman"/>
                <w:lang w:eastAsia="ru-RU"/>
              </w:rPr>
            </w:pPr>
            <w:r>
              <w:rPr>
                <w:rFonts w:eastAsia="Times New Roman"/>
                <w:lang w:eastAsia="ru-RU"/>
              </w:rPr>
              <w:t xml:space="preserve">ИП </w:t>
            </w:r>
            <w:r w:rsidRPr="00BD2D63">
              <w:rPr>
                <w:rFonts w:eastAsia="Times New Roman"/>
                <w:lang w:eastAsia="ru-RU"/>
              </w:rPr>
              <w:t>Дорофеев</w:t>
            </w:r>
            <w:r>
              <w:rPr>
                <w:rFonts w:eastAsia="Times New Roman"/>
                <w:lang w:eastAsia="ru-RU"/>
              </w:rPr>
              <w:t xml:space="preserve"> М.В.</w:t>
            </w:r>
          </w:p>
        </w:tc>
        <w:tc>
          <w:tcPr>
            <w:tcW w:w="2127" w:type="dxa"/>
            <w:tcBorders>
              <w:top w:val="nil"/>
              <w:left w:val="nil"/>
              <w:bottom w:val="single" w:sz="4" w:space="0" w:color="auto"/>
              <w:right w:val="single" w:sz="4" w:space="0" w:color="auto"/>
            </w:tcBorders>
            <w:shd w:val="clear" w:color="auto" w:fill="auto"/>
            <w:vAlign w:val="center"/>
          </w:tcPr>
          <w:p w:rsidR="006129B2" w:rsidRPr="00A60A19" w:rsidRDefault="00BD2D63" w:rsidP="00FA11FA">
            <w:r w:rsidRPr="00BD2D63">
              <w:t>230904173234</w:t>
            </w:r>
          </w:p>
        </w:tc>
      </w:tr>
    </w:tbl>
    <w:p w:rsidR="006129B2" w:rsidRPr="00A60A19" w:rsidRDefault="006129B2" w:rsidP="006129B2">
      <w:pPr>
        <w:jc w:val="both"/>
        <w:rPr>
          <w:b/>
        </w:rPr>
      </w:pPr>
    </w:p>
    <w:p w:rsidR="006129B2" w:rsidRPr="00A60A19" w:rsidRDefault="006129B2" w:rsidP="006129B2">
      <w:pPr>
        <w:ind w:firstLine="708"/>
        <w:jc w:val="both"/>
      </w:pPr>
      <w:r w:rsidRPr="00A60A19">
        <w:rPr>
          <w:b/>
        </w:rPr>
        <w:t xml:space="preserve"> Дисциплинарный комитет, посовещавшись, решил: </w:t>
      </w:r>
      <w:r w:rsidRPr="00A60A19">
        <w:t xml:space="preserve">учитывая </w:t>
      </w:r>
      <w:proofErr w:type="gramStart"/>
      <w:r w:rsidRPr="00A60A19">
        <w:t>вышеизложенное</w:t>
      </w:r>
      <w:proofErr w:type="gramEnd"/>
      <w:r w:rsidRPr="00A60A19">
        <w:t xml:space="preserve"> на основании </w:t>
      </w:r>
      <w:proofErr w:type="spellStart"/>
      <w:r w:rsidRPr="00A60A19">
        <w:t>п.п</w:t>
      </w:r>
      <w:proofErr w:type="spellEnd"/>
      <w:r w:rsidRPr="00A60A19">
        <w:t xml:space="preserve">.  6.2.,6.4. Положения «О системе мер дисциплинарного воздействия за несоблюдением членами Союза «КОП» требований к выдаче Свидетельства о допуске, правил контроля в области саморегулирования, требований технических регламентов, требований стандартов и правил саморегулирования» считать ранее выданное предписание исполненным, а дисциплинарное производство прекращенным в отношении вышеуказанных членов саморегулируемой организации. </w:t>
      </w:r>
    </w:p>
    <w:p w:rsidR="006129B2" w:rsidRPr="00A60A19" w:rsidRDefault="006129B2" w:rsidP="006129B2">
      <w:pPr>
        <w:jc w:val="both"/>
      </w:pPr>
    </w:p>
    <w:p w:rsidR="006129B2" w:rsidRPr="00A60A19" w:rsidRDefault="006129B2" w:rsidP="006129B2">
      <w:pPr>
        <w:jc w:val="both"/>
      </w:pPr>
      <w:r w:rsidRPr="00A60A19">
        <w:rPr>
          <w:b/>
        </w:rPr>
        <w:t xml:space="preserve">       Проголосовали:</w:t>
      </w:r>
      <w:r w:rsidRPr="00A60A19">
        <w:t xml:space="preserve">    «за» - единогласно</w:t>
      </w:r>
    </w:p>
    <w:p w:rsidR="006129B2" w:rsidRPr="00A60A19" w:rsidRDefault="006129B2" w:rsidP="006129B2">
      <w:pPr>
        <w:jc w:val="both"/>
      </w:pPr>
      <w:r w:rsidRPr="00A60A19">
        <w:tab/>
      </w:r>
      <w:r w:rsidRPr="00A60A19">
        <w:tab/>
        <w:t xml:space="preserve">                «против» - нет</w:t>
      </w:r>
    </w:p>
    <w:p w:rsidR="006129B2" w:rsidRPr="00A60A19" w:rsidRDefault="006129B2" w:rsidP="006129B2">
      <w:pPr>
        <w:jc w:val="both"/>
      </w:pPr>
      <w:r w:rsidRPr="00A60A19">
        <w:tab/>
      </w:r>
      <w:r w:rsidRPr="00A60A19">
        <w:tab/>
        <w:t xml:space="preserve">                «воздержались» - нет </w:t>
      </w:r>
    </w:p>
    <w:p w:rsidR="006129B2" w:rsidRPr="00A60A19" w:rsidRDefault="006129B2" w:rsidP="006129B2">
      <w:pPr>
        <w:jc w:val="both"/>
        <w:rPr>
          <w:b/>
        </w:rPr>
      </w:pPr>
    </w:p>
    <w:p w:rsidR="006129B2" w:rsidRPr="00A60A19" w:rsidRDefault="006129B2" w:rsidP="006129B2">
      <w:pPr>
        <w:spacing w:after="240"/>
        <w:ind w:firstLine="709"/>
        <w:jc w:val="both"/>
      </w:pPr>
      <w:r w:rsidRPr="00A60A19">
        <w:rPr>
          <w:b/>
        </w:rPr>
        <w:t xml:space="preserve">Постановили: </w:t>
      </w:r>
      <w:r w:rsidRPr="00A60A19">
        <w:t xml:space="preserve">считать ранее выданное предписание исполненным, а дисциплинарное производство прекращенным в отношении </w:t>
      </w:r>
      <w:r>
        <w:t>нижеследующих</w:t>
      </w:r>
      <w:r w:rsidRPr="00A60A19">
        <w:t xml:space="preserve">  членов саморегулируемой организации:</w:t>
      </w:r>
    </w:p>
    <w:tbl>
      <w:tblPr>
        <w:tblW w:w="9493" w:type="dxa"/>
        <w:tblInd w:w="113" w:type="dxa"/>
        <w:tblLook w:val="04A0" w:firstRow="1" w:lastRow="0" w:firstColumn="1" w:lastColumn="0" w:noHBand="0" w:noVBand="1"/>
      </w:tblPr>
      <w:tblGrid>
        <w:gridCol w:w="980"/>
        <w:gridCol w:w="6386"/>
        <w:gridCol w:w="2127"/>
      </w:tblGrid>
      <w:tr w:rsidR="006129B2" w:rsidRPr="00A60A19" w:rsidTr="00FA11FA">
        <w:trPr>
          <w:trHeight w:val="20"/>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9B2" w:rsidRPr="00A60A19" w:rsidRDefault="006129B2" w:rsidP="00FA11FA">
            <w:pPr>
              <w:jc w:val="center"/>
              <w:rPr>
                <w:rFonts w:eastAsia="Times New Roman"/>
                <w:b/>
                <w:bCs/>
                <w:lang w:eastAsia="ru-RU"/>
              </w:rPr>
            </w:pPr>
            <w:r w:rsidRPr="00A60A19">
              <w:rPr>
                <w:rFonts w:eastAsia="Times New Roman"/>
                <w:b/>
                <w:bCs/>
              </w:rPr>
              <w:t>Номер п\</w:t>
            </w:r>
            <w:proofErr w:type="gramStart"/>
            <w:r w:rsidRPr="00A60A19">
              <w:rPr>
                <w:rFonts w:eastAsia="Times New Roman"/>
                <w:b/>
                <w:bCs/>
              </w:rPr>
              <w:t>п</w:t>
            </w:r>
            <w:proofErr w:type="gramEnd"/>
          </w:p>
        </w:tc>
        <w:tc>
          <w:tcPr>
            <w:tcW w:w="6386" w:type="dxa"/>
            <w:tcBorders>
              <w:top w:val="single" w:sz="4" w:space="0" w:color="auto"/>
              <w:left w:val="nil"/>
              <w:bottom w:val="single" w:sz="4" w:space="0" w:color="auto"/>
              <w:right w:val="single" w:sz="4" w:space="0" w:color="auto"/>
            </w:tcBorders>
            <w:shd w:val="clear" w:color="000000" w:fill="FFFFFF"/>
            <w:vAlign w:val="center"/>
            <w:hideMark/>
          </w:tcPr>
          <w:p w:rsidR="006129B2" w:rsidRPr="00A60A19" w:rsidRDefault="006129B2" w:rsidP="00FA11FA">
            <w:pPr>
              <w:jc w:val="center"/>
              <w:rPr>
                <w:rFonts w:eastAsia="Times New Roman"/>
                <w:b/>
                <w:bCs/>
                <w:lang w:eastAsia="ru-RU"/>
              </w:rPr>
            </w:pPr>
            <w:r w:rsidRPr="00A60A19">
              <w:rPr>
                <w:rFonts w:eastAsia="Times New Roman"/>
                <w:b/>
                <w:bCs/>
                <w:lang w:eastAsia="ru-RU"/>
              </w:rPr>
              <w:t>Наименование организации</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6129B2" w:rsidRPr="00A60A19" w:rsidRDefault="006129B2" w:rsidP="00FA11FA">
            <w:pPr>
              <w:jc w:val="center"/>
              <w:rPr>
                <w:rFonts w:eastAsia="Times New Roman"/>
                <w:b/>
                <w:bCs/>
                <w:lang w:eastAsia="ru-RU"/>
              </w:rPr>
            </w:pPr>
            <w:r w:rsidRPr="00A60A19">
              <w:rPr>
                <w:rFonts w:eastAsia="Times New Roman"/>
                <w:b/>
                <w:bCs/>
                <w:lang w:eastAsia="ru-RU"/>
              </w:rPr>
              <w:t>ИНН</w:t>
            </w:r>
          </w:p>
        </w:tc>
      </w:tr>
      <w:tr w:rsidR="00BD2D63" w:rsidRPr="00A60A19" w:rsidTr="00FA11FA">
        <w:trPr>
          <w:trHeight w:val="20"/>
        </w:trPr>
        <w:tc>
          <w:tcPr>
            <w:tcW w:w="980" w:type="dxa"/>
            <w:tcBorders>
              <w:top w:val="nil"/>
              <w:left w:val="single" w:sz="4" w:space="0" w:color="auto"/>
              <w:bottom w:val="single" w:sz="4" w:space="0" w:color="auto"/>
              <w:right w:val="single" w:sz="4" w:space="0" w:color="auto"/>
            </w:tcBorders>
            <w:shd w:val="clear" w:color="000000" w:fill="FFFFFF"/>
            <w:vAlign w:val="center"/>
          </w:tcPr>
          <w:p w:rsidR="00BD2D63" w:rsidRPr="00A60A19" w:rsidRDefault="00BD2D63" w:rsidP="006129B2">
            <w:pPr>
              <w:numPr>
                <w:ilvl w:val="0"/>
                <w:numId w:val="14"/>
              </w:numPr>
              <w:jc w:val="center"/>
              <w:rPr>
                <w:rFonts w:eastAsia="Times New Roman"/>
                <w:lang w:eastAsia="ru-RU"/>
              </w:rPr>
            </w:pPr>
          </w:p>
        </w:tc>
        <w:tc>
          <w:tcPr>
            <w:tcW w:w="6386" w:type="dxa"/>
            <w:tcBorders>
              <w:top w:val="nil"/>
              <w:left w:val="nil"/>
              <w:bottom w:val="single" w:sz="4" w:space="0" w:color="auto"/>
              <w:right w:val="single" w:sz="4" w:space="0" w:color="auto"/>
            </w:tcBorders>
            <w:shd w:val="clear" w:color="auto" w:fill="auto"/>
            <w:vAlign w:val="center"/>
          </w:tcPr>
          <w:p w:rsidR="00BD2D63" w:rsidRPr="00A60A19" w:rsidRDefault="00BD2D63" w:rsidP="00FA11FA">
            <w:pPr>
              <w:rPr>
                <w:rFonts w:eastAsia="Times New Roman"/>
                <w:lang w:eastAsia="ru-RU"/>
              </w:rPr>
            </w:pPr>
            <w:r>
              <w:rPr>
                <w:rFonts w:eastAsia="Times New Roman"/>
                <w:lang w:eastAsia="ru-RU"/>
              </w:rPr>
              <w:t xml:space="preserve">ИП </w:t>
            </w:r>
            <w:r w:rsidRPr="00BD2D63">
              <w:rPr>
                <w:rFonts w:eastAsia="Times New Roman"/>
                <w:lang w:eastAsia="ru-RU"/>
              </w:rPr>
              <w:t>Дорофеев</w:t>
            </w:r>
            <w:r>
              <w:rPr>
                <w:rFonts w:eastAsia="Times New Roman"/>
                <w:lang w:eastAsia="ru-RU"/>
              </w:rPr>
              <w:t xml:space="preserve"> М.В.</w:t>
            </w:r>
          </w:p>
        </w:tc>
        <w:tc>
          <w:tcPr>
            <w:tcW w:w="2127" w:type="dxa"/>
            <w:tcBorders>
              <w:top w:val="nil"/>
              <w:left w:val="nil"/>
              <w:bottom w:val="single" w:sz="4" w:space="0" w:color="auto"/>
              <w:right w:val="single" w:sz="4" w:space="0" w:color="auto"/>
            </w:tcBorders>
            <w:shd w:val="clear" w:color="auto" w:fill="auto"/>
            <w:vAlign w:val="center"/>
          </w:tcPr>
          <w:p w:rsidR="00BD2D63" w:rsidRPr="00A60A19" w:rsidRDefault="00BD2D63" w:rsidP="00FA11FA">
            <w:r w:rsidRPr="00BD2D63">
              <w:t>230904173234</w:t>
            </w:r>
          </w:p>
        </w:tc>
      </w:tr>
    </w:tbl>
    <w:p w:rsidR="006129B2" w:rsidRDefault="006129B2" w:rsidP="006129B2">
      <w:pPr>
        <w:ind w:left="360"/>
      </w:pPr>
    </w:p>
    <w:p w:rsidR="00315922" w:rsidRPr="00C02002" w:rsidRDefault="00315922" w:rsidP="00315922">
      <w:pPr>
        <w:ind w:firstLine="567"/>
        <w:jc w:val="both"/>
      </w:pPr>
      <w:r w:rsidRPr="00B20A98">
        <w:rPr>
          <w:b/>
          <w:i/>
        </w:rPr>
        <w:t xml:space="preserve">По </w:t>
      </w:r>
      <w:r>
        <w:rPr>
          <w:b/>
          <w:i/>
        </w:rPr>
        <w:t>четвертому</w:t>
      </w:r>
      <w:r w:rsidRPr="00B20A98">
        <w:rPr>
          <w:b/>
          <w:i/>
        </w:rPr>
        <w:t xml:space="preserve"> вопросу</w:t>
      </w:r>
      <w:r w:rsidRPr="00B20A98">
        <w:rPr>
          <w:b/>
        </w:rPr>
        <w:t xml:space="preserve"> слушали: Асланова В.Б</w:t>
      </w:r>
      <w:r w:rsidRPr="00B20A98">
        <w:t>.,</w:t>
      </w:r>
      <w:r>
        <w:t xml:space="preserve"> </w:t>
      </w:r>
      <w:r w:rsidRPr="00C02002">
        <w:t>который сообщил, что в отношен</w:t>
      </w:r>
      <w:proofErr w:type="gramStart"/>
      <w:r w:rsidRPr="00C02002">
        <w:t>ии ООО</w:t>
      </w:r>
      <w:proofErr w:type="gramEnd"/>
      <w:r w:rsidRPr="00C02002">
        <w:t xml:space="preserve"> Фирма «ИНЖИЛ»  был составлен Акт внеплано</w:t>
      </w:r>
      <w:r w:rsidR="00CE4886">
        <w:t>вой проверки от 25.05.2016</w:t>
      </w:r>
      <w:r w:rsidRPr="00C02002">
        <w:t>г. в связи с проверкой фактов, указанных в Представлении об устранении нарушений  требований градостроительного законодательства  от 04.05. 2016 г.  № 07-01-2016 о допущенных нарушениях ООО Фирма «ИНЖИЛ». В результате проверки, факты, указанные в вышеуказанном обращении, подтвердились. При этом</w:t>
      </w:r>
      <w:proofErr w:type="gramStart"/>
      <w:r w:rsidRPr="00C02002">
        <w:t>,</w:t>
      </w:r>
      <w:proofErr w:type="gramEnd"/>
      <w:r w:rsidRPr="00C02002">
        <w:t xml:space="preserve"> допущенные нарушения  не были устранены ООО Фирма «ИНЖИЛ» до даты заседания Дисциплинарного комитета. </w:t>
      </w:r>
    </w:p>
    <w:p w:rsidR="00315922" w:rsidRPr="00C02002" w:rsidRDefault="00315922" w:rsidP="00315922">
      <w:pPr>
        <w:ind w:firstLine="567"/>
        <w:jc w:val="both"/>
      </w:pPr>
      <w:r w:rsidRPr="00C02002">
        <w:t>Из  материалов  дела  следует,  что  межд</w:t>
      </w:r>
      <w:proofErr w:type="gramStart"/>
      <w:r w:rsidRPr="00C02002">
        <w:t>у  ООО</w:t>
      </w:r>
      <w:proofErr w:type="gramEnd"/>
      <w:r w:rsidRPr="00C02002">
        <w:t xml:space="preserve">  «Фирма  «ИНЖИЛ»  и  ГСК  №  85</w:t>
      </w:r>
    </w:p>
    <w:p w:rsidR="00315922" w:rsidRPr="00C02002" w:rsidRDefault="00315922" w:rsidP="00315922">
      <w:pPr>
        <w:ind w:firstLine="567"/>
        <w:jc w:val="both"/>
      </w:pPr>
      <w:r w:rsidRPr="00C02002">
        <w:t xml:space="preserve">23.06.2015 заключен  договор на разработку проектно-сметной  документации  №  15-15 по объекту: Реконструкция подземных гаражей боксового типа. Навес для хранения легковых автомобилей по адресу: г. Краснодар, пр. Чекистов, 4/1». Разделы: обследование, техническое заключение, архитектурные решения - АР, конструкции металлические - </w:t>
      </w:r>
      <w:proofErr w:type="gramStart"/>
      <w:r w:rsidRPr="00C02002">
        <w:t>КМ</w:t>
      </w:r>
      <w:proofErr w:type="gramEnd"/>
      <w:r w:rsidRPr="00C02002">
        <w:t>.</w:t>
      </w:r>
    </w:p>
    <w:p w:rsidR="00315922" w:rsidRPr="00C02002" w:rsidRDefault="00315922" w:rsidP="00315922">
      <w:pPr>
        <w:ind w:firstLine="567"/>
        <w:jc w:val="both"/>
      </w:pPr>
      <w:r w:rsidRPr="00C02002">
        <w:tab/>
        <w:t>В  материалы  дел</w:t>
      </w:r>
      <w:proofErr w:type="gramStart"/>
      <w:r w:rsidRPr="00C02002">
        <w:t>а  ООО</w:t>
      </w:r>
      <w:proofErr w:type="gramEnd"/>
      <w:r w:rsidRPr="00C02002">
        <w:t xml:space="preserve">  «Фирма  «ИНЖИЛ» представила:</w:t>
      </w:r>
    </w:p>
    <w:p w:rsidR="00315922" w:rsidRPr="00C02002" w:rsidRDefault="00315922" w:rsidP="00315922">
      <w:pPr>
        <w:ind w:firstLine="567"/>
        <w:jc w:val="both"/>
      </w:pPr>
      <w:r w:rsidRPr="00C02002">
        <w:t xml:space="preserve">1.  Технический  отчет обследования  несущих  конструкций подземного гаража ГСК №85 </w:t>
      </w:r>
    </w:p>
    <w:p w:rsidR="00315922" w:rsidRPr="00C02002" w:rsidRDefault="00315922" w:rsidP="00315922">
      <w:pPr>
        <w:ind w:firstLine="567"/>
        <w:jc w:val="both"/>
      </w:pPr>
      <w:r w:rsidRPr="00C02002">
        <w:t xml:space="preserve">2. </w:t>
      </w:r>
      <w:proofErr w:type="gramStart"/>
      <w:r w:rsidRPr="00C02002">
        <w:t>Разрешение от 23.09.2015 № RU2306000-4253-p на строительство объекта «Устройство автостоянки открытого типа для хранения легковых автомобилей по адресу: г. Краснодар, проспект Чекистов, 4/1, 1 этап строительства» и № RU2306000-4253/1-p на строительство объекта «Устройство автостоянки открытого типа для хранения легковых автомобилей по адресу: г. Краснодар, проспект Чекистов, 4/1, 2 этап строительства» на земельном участке с кадастровым номером 23:43:0206017</w:t>
      </w:r>
      <w:proofErr w:type="gramEnd"/>
      <w:r w:rsidRPr="00C02002">
        <w:t>:27 по проспект Чекистов, 4/1.</w:t>
      </w:r>
    </w:p>
    <w:p w:rsidR="00315922" w:rsidRPr="00C02002" w:rsidRDefault="00315922" w:rsidP="00315922">
      <w:pPr>
        <w:ind w:firstLine="567"/>
        <w:jc w:val="both"/>
      </w:pPr>
      <w:r w:rsidRPr="00C02002">
        <w:t xml:space="preserve">3. Договор на разработку проектно-сметной  документации  №  15-15 по объекту: </w:t>
      </w:r>
      <w:r w:rsidRPr="00C02002">
        <w:lastRenderedPageBreak/>
        <w:t xml:space="preserve">Реконструкция подземных гаражей боксового типа. Навес для хранения легковых автомобилей по адресу: г. Краснодар, пр. Чекистов, 4/1». Разделы: обследование, техническое заключение, архитектурные решения - АР, конструкции металлические - </w:t>
      </w:r>
      <w:proofErr w:type="gramStart"/>
      <w:r w:rsidRPr="00C02002">
        <w:t>КМ</w:t>
      </w:r>
      <w:proofErr w:type="gramEnd"/>
      <w:r w:rsidRPr="00C02002">
        <w:t>.</w:t>
      </w:r>
    </w:p>
    <w:p w:rsidR="00315922" w:rsidRPr="00C02002" w:rsidRDefault="00315922" w:rsidP="00315922">
      <w:pPr>
        <w:ind w:firstLine="567"/>
        <w:jc w:val="both"/>
      </w:pPr>
      <w:r w:rsidRPr="00C02002">
        <w:t>4. Заключение специалиста № 084 от 16 мая 2016 г. Межрегионального  центра независимой экспертизы.</w:t>
      </w:r>
    </w:p>
    <w:p w:rsidR="00315922" w:rsidRPr="00C02002" w:rsidRDefault="00315922" w:rsidP="00315922">
      <w:pPr>
        <w:ind w:firstLine="567"/>
        <w:jc w:val="both"/>
      </w:pPr>
    </w:p>
    <w:p w:rsidR="00315922" w:rsidRPr="00C02002" w:rsidRDefault="00315922" w:rsidP="00315922">
      <w:pPr>
        <w:ind w:firstLine="567"/>
        <w:jc w:val="both"/>
      </w:pPr>
      <w:r w:rsidRPr="00C02002">
        <w:t>По результатам рассмотрения документов установлено следующее:</w:t>
      </w:r>
    </w:p>
    <w:p w:rsidR="00315922" w:rsidRPr="00C02002" w:rsidRDefault="00315922" w:rsidP="00315922">
      <w:pPr>
        <w:ind w:firstLine="567"/>
        <w:jc w:val="both"/>
      </w:pPr>
      <w:r w:rsidRPr="00C02002">
        <w:t>Техническим  отчетом обследования  несущих  конструкций подземного гаража ГСК №85, определено техническое состояние  и  несущая   способность  основных  строительных  конструкций,  а так же   определена возможность выполнения устройства навеса из металлических конструкций для легковых автомобилей на крыше  обследованных подземных гаражей.</w:t>
      </w:r>
    </w:p>
    <w:p w:rsidR="00315922" w:rsidRPr="00C02002" w:rsidRDefault="00315922" w:rsidP="00315922">
      <w:pPr>
        <w:ind w:firstLine="567"/>
        <w:jc w:val="both"/>
      </w:pPr>
      <w:r w:rsidRPr="00C02002">
        <w:t xml:space="preserve">По  результатам   выполнения  работ ООО  «Фирма  «ИНЖИЛ»  разработала  и  утвердила  проектную документацию на указанный объект.  Устройство надземной части автостоянки предусмотрено в 2 этапа строительства: 1 этап - 32 </w:t>
      </w:r>
      <w:proofErr w:type="spellStart"/>
      <w:r w:rsidRPr="00C02002">
        <w:t>машино</w:t>
      </w:r>
      <w:proofErr w:type="spellEnd"/>
      <w:r w:rsidRPr="00C02002">
        <w:t xml:space="preserve">-места, площадь застройки - 1365,08 </w:t>
      </w:r>
      <w:proofErr w:type="spellStart"/>
      <w:r w:rsidRPr="00C02002">
        <w:t>кв</w:t>
      </w:r>
      <w:proofErr w:type="gramStart"/>
      <w:r w:rsidRPr="00C02002">
        <w:t>.м</w:t>
      </w:r>
      <w:proofErr w:type="spellEnd"/>
      <w:proofErr w:type="gramEnd"/>
      <w:r w:rsidRPr="00C02002">
        <w:t xml:space="preserve"> и 2 этап - 39 </w:t>
      </w:r>
      <w:proofErr w:type="spellStart"/>
      <w:r w:rsidRPr="00C02002">
        <w:t>машино</w:t>
      </w:r>
      <w:proofErr w:type="spellEnd"/>
      <w:r w:rsidRPr="00C02002">
        <w:t xml:space="preserve">-мест, площадь застройки - 1495,05 </w:t>
      </w:r>
      <w:proofErr w:type="spellStart"/>
      <w:r w:rsidRPr="00C02002">
        <w:t>кв.м</w:t>
      </w:r>
      <w:proofErr w:type="spellEnd"/>
      <w:r w:rsidRPr="00C02002">
        <w:t xml:space="preserve">., что является , согласно представления Прокуратуры нарушением, так как в разделе «Конструкции металлические» проекта объекты «Устройство автостоянки открытого типа для хранения легковых автомобилей  по  адресу:  г.  Краснодар,  проспект  Чекистов,  4/1.  1  этап  строительства»  и «Устройство автостоянки открытого типа для хранения легковых автомобилей по адресу: </w:t>
      </w:r>
      <w:proofErr w:type="spellStart"/>
      <w:r w:rsidRPr="00C02002">
        <w:t>г</w:t>
      </w:r>
      <w:proofErr w:type="gramStart"/>
      <w:r w:rsidRPr="00C02002">
        <w:t>.К</w:t>
      </w:r>
      <w:proofErr w:type="gramEnd"/>
      <w:r w:rsidRPr="00C02002">
        <w:t>раснодар</w:t>
      </w:r>
      <w:proofErr w:type="spellEnd"/>
      <w:r w:rsidRPr="00C02002">
        <w:t>,  проспект  Чекистов,  4/1.  2  этап  строительства» являются  единым  объектом, имеющим единую кровлю и единый несущий остов. Дисциплинарный комитет, соглашается с доводам</w:t>
      </w:r>
      <w:proofErr w:type="gramStart"/>
      <w:r w:rsidRPr="00C02002">
        <w:t>и ООО</w:t>
      </w:r>
      <w:proofErr w:type="gramEnd"/>
      <w:r w:rsidRPr="00C02002">
        <w:t xml:space="preserve"> “Фирма “</w:t>
      </w:r>
      <w:proofErr w:type="spellStart"/>
      <w:r w:rsidRPr="00C02002">
        <w:t>Инжил</w:t>
      </w:r>
      <w:proofErr w:type="spellEnd"/>
      <w:r w:rsidRPr="00C02002">
        <w:t>” о технической возможности  ввода в эксплуатацию каждого из данных этапов, с учетом внесения в проект изменений  в части конструкций навеса.</w:t>
      </w:r>
    </w:p>
    <w:p w:rsidR="00315922" w:rsidRPr="00C02002" w:rsidRDefault="00315922" w:rsidP="00315922">
      <w:pPr>
        <w:ind w:firstLine="567"/>
        <w:jc w:val="both"/>
      </w:pPr>
      <w:proofErr w:type="gramStart"/>
      <w:r w:rsidRPr="00C02002">
        <w:t>В  указанной проектной документации отсутствует 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этом ссылка  Прокуратуры  на нарушение в данном случае ООО “Фирма “</w:t>
      </w:r>
      <w:proofErr w:type="spellStart"/>
      <w:r w:rsidRPr="00C02002">
        <w:t>Инжил</w:t>
      </w:r>
      <w:proofErr w:type="spellEnd"/>
      <w:r w:rsidRPr="00C02002">
        <w:t>”   положений, предусмотренных статьей 51 Градостроительного кодекса Российской Федерации, в части  нарушения порядка получения  разрешения на строительство, ошибочна, так как обязанность предоставлять пакет документов, предусмотренных частью 7  вышеназванной статьи</w:t>
      </w:r>
      <w:proofErr w:type="gramEnd"/>
      <w:r w:rsidRPr="00C02002">
        <w:t xml:space="preserve">, лежит на  застройщике.  </w:t>
      </w:r>
    </w:p>
    <w:p w:rsidR="00315922" w:rsidRPr="00C02002" w:rsidRDefault="00315922" w:rsidP="00315922">
      <w:pPr>
        <w:ind w:firstLine="567"/>
        <w:jc w:val="both"/>
      </w:pPr>
      <w:proofErr w:type="gramStart"/>
      <w:r w:rsidRPr="00C02002">
        <w:t>Согласно пункта</w:t>
      </w:r>
      <w:proofErr w:type="gramEnd"/>
      <w:r w:rsidRPr="00C02002">
        <w:t xml:space="preserve"> 7  “Положения о составе  проектной документации и требованиях к ее содержанию”, утвержденного Постановлением Правительства РФ № 87 от 16.02.2008 г. необходимость  разработки  данного раздела определяется заказчиком. В техническом задании, представленном  на обозрение, данный раздел не поименован Заказчиком. </w:t>
      </w:r>
    </w:p>
    <w:p w:rsidR="00315922" w:rsidRPr="00C02002" w:rsidRDefault="00315922" w:rsidP="00315922">
      <w:pPr>
        <w:ind w:firstLine="567"/>
        <w:jc w:val="both"/>
      </w:pPr>
      <w:proofErr w:type="gramStart"/>
      <w:r w:rsidRPr="00C02002">
        <w:t>На основании заявлений ГСК № 85 и представленной проектной документации департаментом архитектуры и градостроительства муниципального образования город Краснодар были выданы разрешения от 23.09.2015 № RU2306000-4253-p на строительство объекта «Устройство автостоянки открытого типа для хранения легковых автомобилей по адресу: г. Краснодар, проспект Чекистов, 4/1, 1 этап строительства» и № RU2306000-4253/1-p на строительство объекта «Устройство автостоянки открытого типа для хранения легковых автомобилей по</w:t>
      </w:r>
      <w:proofErr w:type="gramEnd"/>
      <w:r w:rsidRPr="00C02002">
        <w:t xml:space="preserve"> адресу: г. Краснодар, проспект Чекистов, 4/1, 2 этап строительства» на земельном участке с кадастровым номером 23:43:0206017:27 по проспект Чекистов, 4/1.</w:t>
      </w:r>
    </w:p>
    <w:p w:rsidR="00315922" w:rsidRPr="00C02002" w:rsidRDefault="00315922" w:rsidP="00315922">
      <w:pPr>
        <w:ind w:firstLine="567"/>
        <w:jc w:val="both"/>
      </w:pPr>
      <w:r w:rsidRPr="00C02002">
        <w:tab/>
        <w:t xml:space="preserve">Общая  площадь  застройки  указанных  объектов  составляет  2860,13  </w:t>
      </w:r>
      <w:proofErr w:type="spellStart"/>
      <w:r w:rsidRPr="00C02002">
        <w:t>кв.м</w:t>
      </w:r>
      <w:proofErr w:type="spellEnd"/>
      <w:r w:rsidRPr="00C02002">
        <w:t xml:space="preserve">.  Процент застройки  земельного  участка  площадью  3745  </w:t>
      </w:r>
      <w:proofErr w:type="spellStart"/>
      <w:r w:rsidRPr="00C02002">
        <w:t>кв.м</w:t>
      </w:r>
      <w:proofErr w:type="spellEnd"/>
      <w:r w:rsidRPr="00C02002">
        <w:t xml:space="preserve">  по  </w:t>
      </w:r>
      <w:proofErr w:type="spellStart"/>
      <w:r w:rsidRPr="00C02002">
        <w:t>пр</w:t>
      </w:r>
      <w:proofErr w:type="gramStart"/>
      <w:r w:rsidRPr="00C02002">
        <w:t>.Ч</w:t>
      </w:r>
      <w:proofErr w:type="gramEnd"/>
      <w:r w:rsidRPr="00C02002">
        <w:t>екистов</w:t>
      </w:r>
      <w:proofErr w:type="spellEnd"/>
      <w:r w:rsidRPr="00C02002">
        <w:t xml:space="preserve">,  4/1  в  Западном внутригородском   округе  города  Краснодара  составляет  76,37%,  что  не  соответствует установленным предельным параметрам земельных участков и разрешенного строительства функциональной зоны Ж.2 </w:t>
      </w:r>
    </w:p>
    <w:p w:rsidR="00315922" w:rsidRPr="00C02002" w:rsidRDefault="00315922" w:rsidP="00315922">
      <w:pPr>
        <w:ind w:firstLine="567"/>
        <w:jc w:val="both"/>
      </w:pPr>
      <w:proofErr w:type="gramStart"/>
      <w:r w:rsidRPr="00C02002">
        <w:t xml:space="preserve">Кроме того,  нарушены  нормативы градостроительного проектирования муниципального образования город Краснодар, утвержденных решением городской Думы </w:t>
      </w:r>
      <w:r w:rsidRPr="00C02002">
        <w:lastRenderedPageBreak/>
        <w:t>Краснодара от 19 июля 2012 года №32 п. 13, Свода правил 113.13330.2012 СНиП 21-02-99 «Стоянки автомобилей», утвержденного Постановлением Правительства РФ от 26.12.2014 N 1521, а также СанПиН 2.2.1/2.1.1.1200-03 «Санитарно-защитные зоны и санитарная классификация предприятий, сооружений и иных объектов» в части  расстояния  от гаражей и</w:t>
      </w:r>
      <w:proofErr w:type="gramEnd"/>
      <w:r w:rsidRPr="00C02002">
        <w:t xml:space="preserve"> открытых стоянок до фасадов жилых домов и детских площадок.</w:t>
      </w:r>
    </w:p>
    <w:p w:rsidR="00315922" w:rsidRPr="00C02002" w:rsidRDefault="00315922" w:rsidP="00315922">
      <w:pPr>
        <w:ind w:firstLine="567"/>
        <w:jc w:val="both"/>
      </w:pPr>
      <w:r w:rsidRPr="00C02002">
        <w:t>Согласно проекта  разработанног</w:t>
      </w:r>
      <w:proofErr w:type="gramStart"/>
      <w:r w:rsidRPr="00C02002">
        <w:t>о  ООО</w:t>
      </w:r>
      <w:proofErr w:type="gramEnd"/>
      <w:r w:rsidRPr="00C02002">
        <w:t xml:space="preserve"> “Фирма “</w:t>
      </w:r>
      <w:proofErr w:type="spellStart"/>
      <w:r w:rsidRPr="00C02002">
        <w:t>Инжил</w:t>
      </w:r>
      <w:proofErr w:type="spellEnd"/>
      <w:r w:rsidRPr="00C02002">
        <w:t xml:space="preserve">” автостоянка представляет собой навес из металлических конструкций, размещенный над существующим зданием подземных гаражей, несущие стены не  предусмотрены,  выполнено  комбинированное  ограждение  из  </w:t>
      </w:r>
      <w:proofErr w:type="spellStart"/>
      <w:r w:rsidRPr="00C02002">
        <w:t>профнастила</w:t>
      </w:r>
      <w:proofErr w:type="spellEnd"/>
      <w:r w:rsidRPr="00C02002">
        <w:t xml:space="preserve">  и  сетки «</w:t>
      </w:r>
      <w:proofErr w:type="spellStart"/>
      <w:r w:rsidRPr="00C02002">
        <w:t>рабица</w:t>
      </w:r>
      <w:proofErr w:type="spellEnd"/>
      <w:r w:rsidRPr="00C02002">
        <w:t xml:space="preserve">». </w:t>
      </w:r>
    </w:p>
    <w:p w:rsidR="00315922" w:rsidRPr="00C02002" w:rsidRDefault="00315922" w:rsidP="00315922">
      <w:pPr>
        <w:ind w:firstLine="567"/>
        <w:jc w:val="both"/>
      </w:pPr>
      <w:proofErr w:type="gramStart"/>
      <w:r w:rsidRPr="00C02002">
        <w:t>Согласно заключения</w:t>
      </w:r>
      <w:proofErr w:type="gramEnd"/>
      <w:r w:rsidRPr="00C02002">
        <w:t xml:space="preserve"> эксперта   данная автостоянка  не является  капитальным строением, соответствует  действующим  строительным и градостроительным  нормам и не создает угрозы жизни и здоровью граждан.</w:t>
      </w:r>
    </w:p>
    <w:p w:rsidR="00315922" w:rsidRPr="00C02002" w:rsidRDefault="00315922" w:rsidP="00315922">
      <w:pPr>
        <w:ind w:firstLine="567"/>
        <w:jc w:val="both"/>
      </w:pPr>
      <w:r w:rsidRPr="00C02002">
        <w:t xml:space="preserve">ООО “Фирма” </w:t>
      </w:r>
      <w:proofErr w:type="spellStart"/>
      <w:r w:rsidRPr="00C02002">
        <w:t>Инжил</w:t>
      </w:r>
      <w:proofErr w:type="spellEnd"/>
      <w:r w:rsidRPr="00C02002">
        <w:t xml:space="preserve">”  заявило о  том, что  первоначально существовавший объект – подземные гаражи боксового типа, были возведены  в </w:t>
      </w:r>
      <w:proofErr w:type="spellStart"/>
      <w:r w:rsidRPr="00C02002">
        <w:t>соотвествии</w:t>
      </w:r>
      <w:proofErr w:type="spellEnd"/>
      <w:r w:rsidRPr="00C02002">
        <w:t xml:space="preserve"> с нормами и требованиями закона, действовавшими на момент  их введения в эксплуатацию в пределах представленного под их возведение земельного участка, а к некапитальным  </w:t>
      </w:r>
      <w:proofErr w:type="gramStart"/>
      <w:r w:rsidRPr="00C02002">
        <w:t>строениям</w:t>
      </w:r>
      <w:proofErr w:type="gramEnd"/>
      <w:r w:rsidRPr="00C02002">
        <w:t xml:space="preserve"> возведенным согласно разработанного ими проекта, положения вышеназванных СНиП не применимо.</w:t>
      </w:r>
    </w:p>
    <w:p w:rsidR="00315922" w:rsidRPr="00C02002" w:rsidRDefault="00315922" w:rsidP="00315922">
      <w:pPr>
        <w:ind w:firstLine="567"/>
        <w:jc w:val="both"/>
      </w:pPr>
      <w:r w:rsidRPr="00C02002">
        <w:t xml:space="preserve">Согласно, п. 2 части 17 ст. 51 </w:t>
      </w:r>
      <w:proofErr w:type="spellStart"/>
      <w:r w:rsidRPr="00C02002">
        <w:t>ГрК</w:t>
      </w:r>
      <w:proofErr w:type="spellEnd"/>
      <w:r w:rsidRPr="00C02002">
        <w:t xml:space="preserve"> РФ разрешение на строительство не требуется при строительстве и реконструкции  объектов являющихся некапитальными. </w:t>
      </w:r>
    </w:p>
    <w:p w:rsidR="00315922" w:rsidRPr="00C02002" w:rsidRDefault="00315922" w:rsidP="00315922">
      <w:pPr>
        <w:ind w:firstLine="567"/>
        <w:jc w:val="both"/>
      </w:pPr>
      <w:r w:rsidRPr="00C02002">
        <w:t xml:space="preserve"> Согласно, п. 4  ст.  55.8 </w:t>
      </w:r>
      <w:proofErr w:type="spellStart"/>
      <w:r w:rsidRPr="00C02002">
        <w:t>ГрК</w:t>
      </w:r>
      <w:proofErr w:type="spellEnd"/>
      <w:r w:rsidRPr="00C02002">
        <w:t xml:space="preserve"> РФ перечень видов  </w:t>
      </w:r>
      <w:proofErr w:type="gramStart"/>
      <w:r w:rsidRPr="00C02002">
        <w:t>работ</w:t>
      </w:r>
      <w:proofErr w:type="gramEnd"/>
      <w:r w:rsidRPr="00C02002">
        <w:t xml:space="preserve"> на которые СРО  выдает  свидетельство о допуске к видам работ оказывающим влияние на безопасность объектов капитального строительства  устанавливается уполномоченным федеральным органом исполнительной власти.</w:t>
      </w:r>
    </w:p>
    <w:p w:rsidR="00315922" w:rsidRPr="00C02002" w:rsidRDefault="00315922" w:rsidP="00315922">
      <w:pPr>
        <w:ind w:firstLine="567"/>
        <w:jc w:val="both"/>
      </w:pPr>
      <w:proofErr w:type="gramStart"/>
      <w:r w:rsidRPr="00C02002">
        <w:t>Согласно  п.  2 Приказа  Министерства  Регионального развития РФ   № 624 от 30.12.2009 г.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перечень  не включает в себя  работы  по строительству, реконструкции и ремонту  в отношении объектов  для которых не требуется выдача разрешения</w:t>
      </w:r>
      <w:proofErr w:type="gramEnd"/>
      <w:r w:rsidRPr="00C02002">
        <w:t xml:space="preserve"> на строительство. </w:t>
      </w:r>
    </w:p>
    <w:p w:rsidR="00315922" w:rsidRDefault="00315922" w:rsidP="00315922">
      <w:pPr>
        <w:ind w:firstLine="567"/>
        <w:jc w:val="both"/>
      </w:pPr>
      <w:r w:rsidRPr="00C02002">
        <w:t xml:space="preserve">Таким образом, выполнение работ по проектированию «Устройство автостоянки открытого типа для хранения легковых автомобилей по адресу: г. Краснодар, проспект Чекистов, 4/1, 1 этап строительства» не относится к сфере контроля  саморегулируемой организации. </w:t>
      </w:r>
    </w:p>
    <w:p w:rsidR="00315922" w:rsidRPr="00C02002" w:rsidRDefault="00315922" w:rsidP="00315922">
      <w:pPr>
        <w:ind w:firstLine="567"/>
        <w:jc w:val="both"/>
      </w:pPr>
      <w:proofErr w:type="gramStart"/>
      <w:r w:rsidRPr="00C02002">
        <w:t xml:space="preserve">При этом </w:t>
      </w:r>
      <w:r>
        <w:t>с учетом доводов</w:t>
      </w:r>
      <w:r w:rsidRPr="00C02002">
        <w:t xml:space="preserve"> Прокуратуры   о том, что вышеназванный проект послужил основанием для  выдачи разрешения на строительство  объекта, которое впоследствии было отозвано, что является само по себе фактом ненадлежащего  исполнения  ООО “Фирма “ИНЖИЛ” своих обязательств перед третьим лицом, а так же тот факт, что </w:t>
      </w:r>
      <w:r>
        <w:t xml:space="preserve">при проектировании  нарушены требования СНиП,  </w:t>
      </w:r>
      <w:r w:rsidRPr="00C02002">
        <w:t>в части  расстояния  до фасадов  жилых домов и детских площадок</w:t>
      </w:r>
      <w:proofErr w:type="gramEnd"/>
      <w:r w:rsidRPr="00C02002">
        <w:t xml:space="preserve">, </w:t>
      </w:r>
      <w:r>
        <w:t>требования которых распространяю</w:t>
      </w:r>
      <w:r w:rsidRPr="00C02002">
        <w:t xml:space="preserve">тся и на  </w:t>
      </w:r>
      <w:proofErr w:type="gramStart"/>
      <w:r w:rsidRPr="00C02002">
        <w:t>стоянки</w:t>
      </w:r>
      <w:proofErr w:type="gramEnd"/>
      <w:r w:rsidRPr="00C02002">
        <w:t xml:space="preserve">  размещенные на эксплуатируемой кровле с установкой  навеса, </w:t>
      </w:r>
      <w:r>
        <w:t>а так же  предельные нормативы площади застройки земельного участка</w:t>
      </w:r>
      <w:r w:rsidRPr="00C02002">
        <w:t>, с учетом  того, что в отношении данного члена СРО ранее не применялись меры дисциплинарного воздействия, а так же учитывая отсутствие угрозы жизни и здоровью граждан,  считаем целесообразным применить к ООО “Фирма “</w:t>
      </w:r>
      <w:proofErr w:type="spellStart"/>
      <w:r w:rsidRPr="00C02002">
        <w:t>Инжил</w:t>
      </w:r>
      <w:proofErr w:type="spellEnd"/>
      <w:r w:rsidRPr="00C02002">
        <w:t xml:space="preserve">” меру дисциплинарного воздействия в виде предупреждения. </w:t>
      </w:r>
    </w:p>
    <w:p w:rsidR="00315922" w:rsidRPr="00C02002" w:rsidRDefault="00315922" w:rsidP="00315922">
      <w:pPr>
        <w:ind w:firstLine="567"/>
        <w:jc w:val="both"/>
      </w:pPr>
    </w:p>
    <w:p w:rsidR="00315922" w:rsidRPr="00C02002" w:rsidRDefault="00315922" w:rsidP="00315922">
      <w:pPr>
        <w:ind w:firstLine="567"/>
        <w:jc w:val="both"/>
      </w:pPr>
      <w:r w:rsidRPr="00C02002">
        <w:t xml:space="preserve"> </w:t>
      </w:r>
      <w:r w:rsidRPr="00C02002">
        <w:rPr>
          <w:b/>
        </w:rPr>
        <w:t>Дисциплинарный комитет, посовещавшись, решил</w:t>
      </w:r>
      <w:r w:rsidRPr="00C02002">
        <w:t xml:space="preserve">: на основании </w:t>
      </w:r>
      <w:proofErr w:type="gramStart"/>
      <w:r w:rsidRPr="00C02002">
        <w:t>вышеизложенного</w:t>
      </w:r>
      <w:proofErr w:type="gramEnd"/>
      <w:r w:rsidRPr="00C02002">
        <w:t xml:space="preserve">, руководствуясь п. 4.1.2. П-6  Положения «О системе мер дисциплинарного воздействия за несоблюдением членами Союза «КОП» требований к выдаче свидетельства о допуске, правил контроля в области саморегулирования, требований технических регламентов, требований стандартов и правил </w:t>
      </w:r>
      <w:r w:rsidRPr="00C02002">
        <w:lastRenderedPageBreak/>
        <w:t>саморегулирования» применить к ООО “Фирма “ИНЖИЛ” меру дисциплинарного воздействия в виде вынесения предупреждения.</w:t>
      </w:r>
    </w:p>
    <w:p w:rsidR="00315922" w:rsidRPr="00C02002" w:rsidRDefault="00315922" w:rsidP="00315922">
      <w:pPr>
        <w:ind w:firstLine="567"/>
        <w:jc w:val="both"/>
      </w:pPr>
    </w:p>
    <w:p w:rsidR="00315922" w:rsidRPr="00C02002" w:rsidRDefault="00315922" w:rsidP="00315922">
      <w:pPr>
        <w:ind w:firstLine="567"/>
        <w:jc w:val="both"/>
      </w:pPr>
      <w:r w:rsidRPr="00C02002">
        <w:t xml:space="preserve">       Проголосовали:     «за» - единогласно</w:t>
      </w:r>
    </w:p>
    <w:p w:rsidR="00315922" w:rsidRPr="00C02002" w:rsidRDefault="00315922" w:rsidP="00315922">
      <w:pPr>
        <w:ind w:firstLine="567"/>
        <w:jc w:val="both"/>
      </w:pPr>
      <w:r w:rsidRPr="00C02002">
        <w:tab/>
      </w:r>
      <w:r w:rsidRPr="00C02002">
        <w:tab/>
        <w:t xml:space="preserve">                «против» - нет</w:t>
      </w:r>
    </w:p>
    <w:p w:rsidR="00315922" w:rsidRPr="00C02002" w:rsidRDefault="00315922" w:rsidP="00315922">
      <w:pPr>
        <w:ind w:firstLine="567"/>
        <w:jc w:val="both"/>
      </w:pPr>
      <w:r w:rsidRPr="00C02002">
        <w:tab/>
      </w:r>
      <w:r w:rsidRPr="00C02002">
        <w:tab/>
        <w:t xml:space="preserve">                «воздержались» - нет  </w:t>
      </w:r>
    </w:p>
    <w:p w:rsidR="00315922" w:rsidRPr="00C02002" w:rsidRDefault="00315922" w:rsidP="00315922">
      <w:pPr>
        <w:ind w:firstLine="567"/>
        <w:jc w:val="both"/>
      </w:pPr>
      <w:r w:rsidRPr="00C02002">
        <w:t xml:space="preserve">Постановили: применить к нижеуказанному члену СРО </w:t>
      </w:r>
      <w:r w:rsidR="00366D19" w:rsidRPr="00C02002">
        <w:t>меру дисциплинарного воздействия в виде предупреждения.</w:t>
      </w:r>
    </w:p>
    <w:tbl>
      <w:tblPr>
        <w:tblW w:w="9493" w:type="dxa"/>
        <w:tblInd w:w="113" w:type="dxa"/>
        <w:tblLook w:val="04A0" w:firstRow="1" w:lastRow="0" w:firstColumn="1" w:lastColumn="0" w:noHBand="0" w:noVBand="1"/>
      </w:tblPr>
      <w:tblGrid>
        <w:gridCol w:w="980"/>
        <w:gridCol w:w="6386"/>
        <w:gridCol w:w="2127"/>
      </w:tblGrid>
      <w:tr w:rsidR="00B939BF" w:rsidRPr="00A60A19" w:rsidTr="00E50F3A">
        <w:trPr>
          <w:trHeight w:val="20"/>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39BF" w:rsidRPr="00A60A19" w:rsidRDefault="00B939BF" w:rsidP="00E50F3A">
            <w:pPr>
              <w:jc w:val="center"/>
              <w:rPr>
                <w:rFonts w:eastAsia="Times New Roman"/>
                <w:b/>
                <w:bCs/>
                <w:lang w:eastAsia="ru-RU"/>
              </w:rPr>
            </w:pPr>
            <w:r w:rsidRPr="00A60A19">
              <w:rPr>
                <w:rFonts w:eastAsia="Times New Roman"/>
                <w:b/>
                <w:bCs/>
              </w:rPr>
              <w:t>Номер п\</w:t>
            </w:r>
            <w:proofErr w:type="gramStart"/>
            <w:r w:rsidRPr="00A60A19">
              <w:rPr>
                <w:rFonts w:eastAsia="Times New Roman"/>
                <w:b/>
                <w:bCs/>
              </w:rPr>
              <w:t>п</w:t>
            </w:r>
            <w:proofErr w:type="gramEnd"/>
          </w:p>
        </w:tc>
        <w:tc>
          <w:tcPr>
            <w:tcW w:w="6386" w:type="dxa"/>
            <w:tcBorders>
              <w:top w:val="single" w:sz="4" w:space="0" w:color="auto"/>
              <w:left w:val="nil"/>
              <w:bottom w:val="single" w:sz="4" w:space="0" w:color="auto"/>
              <w:right w:val="single" w:sz="4" w:space="0" w:color="auto"/>
            </w:tcBorders>
            <w:shd w:val="clear" w:color="000000" w:fill="FFFFFF"/>
            <w:vAlign w:val="center"/>
            <w:hideMark/>
          </w:tcPr>
          <w:p w:rsidR="00B939BF" w:rsidRPr="00A60A19" w:rsidRDefault="00B939BF" w:rsidP="00E50F3A">
            <w:pPr>
              <w:jc w:val="center"/>
              <w:rPr>
                <w:rFonts w:eastAsia="Times New Roman"/>
                <w:b/>
                <w:bCs/>
                <w:lang w:eastAsia="ru-RU"/>
              </w:rPr>
            </w:pPr>
            <w:r w:rsidRPr="00A60A19">
              <w:rPr>
                <w:rFonts w:eastAsia="Times New Roman"/>
                <w:b/>
                <w:bCs/>
                <w:lang w:eastAsia="ru-RU"/>
              </w:rPr>
              <w:t>Наименование организации</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B939BF" w:rsidRPr="00A60A19" w:rsidRDefault="00B939BF" w:rsidP="00E50F3A">
            <w:pPr>
              <w:jc w:val="center"/>
              <w:rPr>
                <w:rFonts w:eastAsia="Times New Roman"/>
                <w:b/>
                <w:bCs/>
                <w:lang w:eastAsia="ru-RU"/>
              </w:rPr>
            </w:pPr>
            <w:r w:rsidRPr="00A60A19">
              <w:rPr>
                <w:rFonts w:eastAsia="Times New Roman"/>
                <w:b/>
                <w:bCs/>
                <w:lang w:eastAsia="ru-RU"/>
              </w:rPr>
              <w:t>ИНН</w:t>
            </w:r>
          </w:p>
        </w:tc>
      </w:tr>
      <w:tr w:rsidR="00B939BF" w:rsidRPr="00A60A19" w:rsidTr="00E50F3A">
        <w:trPr>
          <w:trHeight w:val="20"/>
        </w:trPr>
        <w:tc>
          <w:tcPr>
            <w:tcW w:w="980" w:type="dxa"/>
            <w:tcBorders>
              <w:top w:val="nil"/>
              <w:left w:val="single" w:sz="4" w:space="0" w:color="auto"/>
              <w:bottom w:val="single" w:sz="4" w:space="0" w:color="auto"/>
              <w:right w:val="single" w:sz="4" w:space="0" w:color="auto"/>
            </w:tcBorders>
            <w:shd w:val="clear" w:color="000000" w:fill="FFFFFF"/>
            <w:vAlign w:val="center"/>
          </w:tcPr>
          <w:p w:rsidR="00B939BF" w:rsidRPr="00A60A19" w:rsidRDefault="00B939BF" w:rsidP="00B939BF">
            <w:pPr>
              <w:numPr>
                <w:ilvl w:val="0"/>
                <w:numId w:val="28"/>
              </w:numPr>
              <w:jc w:val="center"/>
              <w:rPr>
                <w:rFonts w:eastAsia="Times New Roman"/>
                <w:lang w:eastAsia="ru-RU"/>
              </w:rPr>
            </w:pPr>
          </w:p>
        </w:tc>
        <w:tc>
          <w:tcPr>
            <w:tcW w:w="6386" w:type="dxa"/>
            <w:tcBorders>
              <w:top w:val="nil"/>
              <w:left w:val="nil"/>
              <w:bottom w:val="single" w:sz="4" w:space="0" w:color="auto"/>
              <w:right w:val="single" w:sz="4" w:space="0" w:color="auto"/>
            </w:tcBorders>
            <w:shd w:val="clear" w:color="auto" w:fill="auto"/>
            <w:vAlign w:val="center"/>
          </w:tcPr>
          <w:p w:rsidR="00B939BF" w:rsidRPr="00C02002" w:rsidRDefault="00B939BF" w:rsidP="00E50F3A">
            <w:pPr>
              <w:ind w:firstLine="567"/>
              <w:jc w:val="both"/>
            </w:pPr>
            <w:r w:rsidRPr="00C02002">
              <w:t>ООО “Фирма “ИНЖИЛ”</w:t>
            </w:r>
          </w:p>
        </w:tc>
        <w:tc>
          <w:tcPr>
            <w:tcW w:w="2127" w:type="dxa"/>
            <w:tcBorders>
              <w:top w:val="nil"/>
              <w:left w:val="nil"/>
              <w:bottom w:val="single" w:sz="4" w:space="0" w:color="auto"/>
              <w:right w:val="single" w:sz="4" w:space="0" w:color="auto"/>
            </w:tcBorders>
            <w:shd w:val="clear" w:color="auto" w:fill="auto"/>
            <w:vAlign w:val="center"/>
          </w:tcPr>
          <w:p w:rsidR="00B939BF" w:rsidRPr="00C02002" w:rsidRDefault="00B939BF" w:rsidP="00E50F3A">
            <w:pPr>
              <w:jc w:val="both"/>
            </w:pPr>
            <w:r w:rsidRPr="00C02002">
              <w:t>2309005079</w:t>
            </w:r>
          </w:p>
        </w:tc>
      </w:tr>
    </w:tbl>
    <w:p w:rsidR="00B939BF" w:rsidRDefault="00B939BF" w:rsidP="00315922">
      <w:pPr>
        <w:ind w:firstLine="567"/>
        <w:jc w:val="both"/>
      </w:pPr>
    </w:p>
    <w:p w:rsidR="00315922" w:rsidRPr="00C02002" w:rsidRDefault="00315922" w:rsidP="00315922">
      <w:pPr>
        <w:ind w:firstLine="567"/>
        <w:jc w:val="both"/>
      </w:pPr>
      <w:r w:rsidRPr="00C02002">
        <w:t>Установить срок погашения меры дисциплинарного воздействия до «</w:t>
      </w:r>
      <w:r w:rsidR="00076389">
        <w:t>12</w:t>
      </w:r>
      <w:r w:rsidRPr="00C02002">
        <w:t xml:space="preserve">» </w:t>
      </w:r>
      <w:r w:rsidR="00076389">
        <w:t>июля</w:t>
      </w:r>
      <w:r w:rsidRPr="00C02002">
        <w:t xml:space="preserve"> 2017г.</w:t>
      </w:r>
    </w:p>
    <w:p w:rsidR="00315922" w:rsidRPr="00C02002" w:rsidRDefault="00315922" w:rsidP="00315922">
      <w:pPr>
        <w:ind w:firstLine="567"/>
        <w:jc w:val="both"/>
      </w:pPr>
    </w:p>
    <w:p w:rsidR="00315922" w:rsidRDefault="00315922" w:rsidP="00CC5D68">
      <w:pPr>
        <w:ind w:firstLine="567"/>
        <w:jc w:val="both"/>
      </w:pPr>
      <w:r w:rsidRPr="00C02002">
        <w:t xml:space="preserve"> </w:t>
      </w:r>
    </w:p>
    <w:p w:rsidR="00A2493F" w:rsidRPr="006C171A" w:rsidRDefault="00A2493F" w:rsidP="00A2493F">
      <w:pPr>
        <w:pStyle w:val="ConsPlusNormal"/>
        <w:widowControl/>
        <w:tabs>
          <w:tab w:val="left" w:pos="7410"/>
        </w:tabs>
        <w:ind w:firstLine="0"/>
        <w:jc w:val="both"/>
        <w:rPr>
          <w:rFonts w:ascii="Times New Roman" w:eastAsia="Lucida Sans Unicode" w:hAnsi="Times New Roman" w:cs="Times New Roman"/>
          <w:kern w:val="1"/>
          <w:sz w:val="24"/>
          <w:szCs w:val="24"/>
        </w:rPr>
      </w:pPr>
      <w:r w:rsidRPr="006C171A">
        <w:rPr>
          <w:rFonts w:ascii="Times New Roman" w:eastAsia="Lucida Sans Unicode" w:hAnsi="Times New Roman" w:cs="Times New Roman"/>
          <w:kern w:val="1"/>
          <w:sz w:val="24"/>
          <w:szCs w:val="24"/>
        </w:rPr>
        <w:t xml:space="preserve">Председатель заседания                                             </w:t>
      </w:r>
      <w:bookmarkStart w:id="0" w:name="_GoBack"/>
      <w:bookmarkEnd w:id="0"/>
      <w:r w:rsidRPr="006C171A">
        <w:rPr>
          <w:rFonts w:ascii="Times New Roman" w:eastAsia="Lucida Sans Unicode" w:hAnsi="Times New Roman" w:cs="Times New Roman"/>
          <w:kern w:val="1"/>
          <w:sz w:val="24"/>
          <w:szCs w:val="24"/>
        </w:rPr>
        <w:t xml:space="preserve">                                           </w:t>
      </w:r>
      <w:r w:rsidRPr="006C171A">
        <w:rPr>
          <w:rFonts w:ascii="Times New Roman" w:hAnsi="Times New Roman" w:cs="Times New Roman"/>
          <w:sz w:val="24"/>
          <w:szCs w:val="24"/>
        </w:rPr>
        <w:t>Халтурин А. А.</w:t>
      </w:r>
    </w:p>
    <w:p w:rsidR="00A2493F" w:rsidRPr="006C171A" w:rsidRDefault="00A2493F" w:rsidP="00A2493F">
      <w:pPr>
        <w:pStyle w:val="ConsPlusNormal"/>
        <w:widowControl/>
        <w:ind w:firstLine="0"/>
        <w:jc w:val="both"/>
        <w:rPr>
          <w:rFonts w:ascii="Times New Roman" w:eastAsia="Lucida Sans Unicode" w:hAnsi="Times New Roman" w:cs="Times New Roman"/>
          <w:b/>
          <w:kern w:val="1"/>
          <w:sz w:val="24"/>
          <w:szCs w:val="24"/>
        </w:rPr>
      </w:pPr>
    </w:p>
    <w:p w:rsidR="00A2493F" w:rsidRPr="006C171A" w:rsidRDefault="00A2493F" w:rsidP="00A2493F">
      <w:pPr>
        <w:pStyle w:val="ConsPlusNormal"/>
        <w:widowControl/>
        <w:ind w:firstLine="0"/>
        <w:jc w:val="both"/>
        <w:rPr>
          <w:rFonts w:ascii="Times New Roman" w:hAnsi="Times New Roman" w:cs="Times New Roman"/>
          <w:sz w:val="24"/>
          <w:szCs w:val="24"/>
        </w:rPr>
      </w:pPr>
      <w:r w:rsidRPr="006C171A">
        <w:rPr>
          <w:rFonts w:ascii="Times New Roman" w:hAnsi="Times New Roman" w:cs="Times New Roman"/>
          <w:sz w:val="24"/>
          <w:szCs w:val="24"/>
        </w:rPr>
        <w:t xml:space="preserve">Секретарь заседания </w:t>
      </w:r>
      <w:r w:rsidRPr="006C171A">
        <w:rPr>
          <w:rFonts w:ascii="Times New Roman" w:hAnsi="Times New Roman" w:cs="Times New Roman"/>
          <w:sz w:val="24"/>
          <w:szCs w:val="24"/>
        </w:rPr>
        <w:tab/>
        <w:t xml:space="preserve">                                                                                 Елисеева Ю. М.</w:t>
      </w:r>
    </w:p>
    <w:p w:rsidR="00A2493F" w:rsidRPr="006C171A" w:rsidRDefault="00A2493F" w:rsidP="00A2493F">
      <w:pPr>
        <w:pStyle w:val="ConsPlusNormal"/>
        <w:widowControl/>
        <w:ind w:firstLine="0"/>
        <w:jc w:val="both"/>
        <w:rPr>
          <w:rFonts w:ascii="Times New Roman" w:hAnsi="Times New Roman" w:cs="Times New Roman"/>
          <w:sz w:val="24"/>
          <w:szCs w:val="24"/>
        </w:rPr>
      </w:pPr>
    </w:p>
    <w:p w:rsidR="00A2493F" w:rsidRPr="006C171A" w:rsidRDefault="00A2493F" w:rsidP="00A2493F">
      <w:pPr>
        <w:spacing w:line="192" w:lineRule="auto"/>
      </w:pPr>
      <w:r w:rsidRPr="006C171A">
        <w:t xml:space="preserve">С протоколом </w:t>
      </w:r>
      <w:proofErr w:type="gramStart"/>
      <w:r w:rsidRPr="006C171A">
        <w:t>ознакомлены</w:t>
      </w:r>
      <w:proofErr w:type="gramEnd"/>
      <w:r w:rsidRPr="006C171A">
        <w:t>:</w:t>
      </w:r>
    </w:p>
    <w:p w:rsidR="00A2493F" w:rsidRPr="006C171A" w:rsidRDefault="00A2493F" w:rsidP="00A2493F">
      <w:pPr>
        <w:spacing w:line="192" w:lineRule="auto"/>
      </w:pPr>
    </w:p>
    <w:p w:rsidR="00A2493F" w:rsidRPr="006C171A" w:rsidRDefault="00A2493F" w:rsidP="00A2493F">
      <w:pPr>
        <w:spacing w:line="192" w:lineRule="auto"/>
      </w:pPr>
      <w:r w:rsidRPr="006C171A">
        <w:t xml:space="preserve">Директор Союз </w:t>
      </w:r>
    </w:p>
    <w:p w:rsidR="00A2493F" w:rsidRDefault="00A2493F" w:rsidP="005B443F">
      <w:pPr>
        <w:spacing w:line="192" w:lineRule="auto"/>
      </w:pPr>
      <w:r w:rsidRPr="006C171A">
        <w:t>«Комплексное Объединение Проектировщиков»</w:t>
      </w:r>
      <w:r w:rsidRPr="006C171A">
        <w:tab/>
      </w:r>
      <w:r w:rsidRPr="006C171A">
        <w:tab/>
      </w:r>
      <w:r w:rsidRPr="006C171A">
        <w:tab/>
        <w:t xml:space="preserve">                         Бунина Ю. Ю. </w:t>
      </w:r>
    </w:p>
    <w:sectPr w:rsidR="00A2493F" w:rsidSect="005856A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381"/>
    <w:multiLevelType w:val="hybridMultilevel"/>
    <w:tmpl w:val="C1DE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86797"/>
    <w:multiLevelType w:val="hybridMultilevel"/>
    <w:tmpl w:val="AAECC9E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0CD90B95"/>
    <w:multiLevelType w:val="hybridMultilevel"/>
    <w:tmpl w:val="0DDC244E"/>
    <w:lvl w:ilvl="0" w:tplc="602E1B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E6923"/>
    <w:multiLevelType w:val="hybridMultilevel"/>
    <w:tmpl w:val="A2924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C0DBC"/>
    <w:multiLevelType w:val="hybridMultilevel"/>
    <w:tmpl w:val="C1DE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87CDD"/>
    <w:multiLevelType w:val="hybridMultilevel"/>
    <w:tmpl w:val="18F4C30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1A503189"/>
    <w:multiLevelType w:val="hybridMultilevel"/>
    <w:tmpl w:val="0BE6D2D0"/>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7">
    <w:nsid w:val="1D550922"/>
    <w:multiLevelType w:val="hybridMultilevel"/>
    <w:tmpl w:val="0074A6F8"/>
    <w:lvl w:ilvl="0" w:tplc="43161D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A3E1C"/>
    <w:multiLevelType w:val="hybridMultilevel"/>
    <w:tmpl w:val="C1DE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A22E6"/>
    <w:multiLevelType w:val="hybridMultilevel"/>
    <w:tmpl w:val="F7E6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9742C"/>
    <w:multiLevelType w:val="hybridMultilevel"/>
    <w:tmpl w:val="F6AAA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852522"/>
    <w:multiLevelType w:val="hybridMultilevel"/>
    <w:tmpl w:val="F7E6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F4FA8"/>
    <w:multiLevelType w:val="hybridMultilevel"/>
    <w:tmpl w:val="062AF4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14E0A"/>
    <w:multiLevelType w:val="hybridMultilevel"/>
    <w:tmpl w:val="0074A6F8"/>
    <w:lvl w:ilvl="0" w:tplc="43161D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7529A"/>
    <w:multiLevelType w:val="hybridMultilevel"/>
    <w:tmpl w:val="C1DE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16737"/>
    <w:multiLevelType w:val="hybridMultilevel"/>
    <w:tmpl w:val="0DDC244E"/>
    <w:lvl w:ilvl="0" w:tplc="602E1B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833567"/>
    <w:multiLevelType w:val="hybridMultilevel"/>
    <w:tmpl w:val="C54099A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7">
    <w:nsid w:val="3D1211E8"/>
    <w:multiLevelType w:val="hybridMultilevel"/>
    <w:tmpl w:val="3A9A893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3E545B6C"/>
    <w:multiLevelType w:val="hybridMultilevel"/>
    <w:tmpl w:val="849A8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00B26"/>
    <w:multiLevelType w:val="hybridMultilevel"/>
    <w:tmpl w:val="A2924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256897"/>
    <w:multiLevelType w:val="hybridMultilevel"/>
    <w:tmpl w:val="849A8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9F32BB"/>
    <w:multiLevelType w:val="hybridMultilevel"/>
    <w:tmpl w:val="F6AAA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B96C3E"/>
    <w:multiLevelType w:val="hybridMultilevel"/>
    <w:tmpl w:val="F7E6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5405A8"/>
    <w:multiLevelType w:val="hybridMultilevel"/>
    <w:tmpl w:val="D9E238F8"/>
    <w:lvl w:ilvl="0" w:tplc="CE205AB8">
      <w:start w:val="1"/>
      <w:numFmt w:val="decimal"/>
      <w:lvlText w:val="%1."/>
      <w:lvlJc w:val="left"/>
      <w:pPr>
        <w:ind w:left="1434" w:hanging="360"/>
      </w:pPr>
      <w:rPr>
        <w:b w:val="0"/>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4">
    <w:nsid w:val="667D0A01"/>
    <w:multiLevelType w:val="hybridMultilevel"/>
    <w:tmpl w:val="D3586676"/>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5">
    <w:nsid w:val="69D55918"/>
    <w:multiLevelType w:val="hybridMultilevel"/>
    <w:tmpl w:val="5C382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B24CE"/>
    <w:multiLevelType w:val="hybridMultilevel"/>
    <w:tmpl w:val="C1DE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B71B1"/>
    <w:multiLevelType w:val="hybridMultilevel"/>
    <w:tmpl w:val="F7E6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4"/>
  </w:num>
  <w:num w:numId="5">
    <w:abstractNumId w:val="21"/>
  </w:num>
  <w:num w:numId="6">
    <w:abstractNumId w:val="8"/>
  </w:num>
  <w:num w:numId="7">
    <w:abstractNumId w:val="2"/>
  </w:num>
  <w:num w:numId="8">
    <w:abstractNumId w:val="6"/>
  </w:num>
  <w:num w:numId="9">
    <w:abstractNumId w:val="19"/>
  </w:num>
  <w:num w:numId="10">
    <w:abstractNumId w:val="3"/>
  </w:num>
  <w:num w:numId="11">
    <w:abstractNumId w:val="16"/>
  </w:num>
  <w:num w:numId="12">
    <w:abstractNumId w:val="20"/>
  </w:num>
  <w:num w:numId="13">
    <w:abstractNumId w:val="18"/>
  </w:num>
  <w:num w:numId="14">
    <w:abstractNumId w:val="26"/>
  </w:num>
  <w:num w:numId="15">
    <w:abstractNumId w:val="17"/>
  </w:num>
  <w:num w:numId="16">
    <w:abstractNumId w:val="14"/>
  </w:num>
  <w:num w:numId="17">
    <w:abstractNumId w:val="11"/>
  </w:num>
  <w:num w:numId="18">
    <w:abstractNumId w:val="7"/>
  </w:num>
  <w:num w:numId="19">
    <w:abstractNumId w:val="13"/>
  </w:num>
  <w:num w:numId="20">
    <w:abstractNumId w:val="1"/>
  </w:num>
  <w:num w:numId="21">
    <w:abstractNumId w:val="12"/>
  </w:num>
  <w:num w:numId="22">
    <w:abstractNumId w:val="27"/>
  </w:num>
  <w:num w:numId="23">
    <w:abstractNumId w:val="9"/>
  </w:num>
  <w:num w:numId="24">
    <w:abstractNumId w:val="5"/>
  </w:num>
  <w:num w:numId="25">
    <w:abstractNumId w:val="25"/>
  </w:num>
  <w:num w:numId="26">
    <w:abstractNumId w:val="22"/>
  </w:num>
  <w:num w:numId="27">
    <w:abstractNumId w:val="23"/>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1E"/>
    <w:rsid w:val="00004208"/>
    <w:rsid w:val="00004AAF"/>
    <w:rsid w:val="00005AD8"/>
    <w:rsid w:val="0001218C"/>
    <w:rsid w:val="00020931"/>
    <w:rsid w:val="00032CC2"/>
    <w:rsid w:val="00033B58"/>
    <w:rsid w:val="000347AF"/>
    <w:rsid w:val="000364CD"/>
    <w:rsid w:val="00037B5E"/>
    <w:rsid w:val="00041546"/>
    <w:rsid w:val="00051E94"/>
    <w:rsid w:val="00061072"/>
    <w:rsid w:val="000724D6"/>
    <w:rsid w:val="00076389"/>
    <w:rsid w:val="0009603D"/>
    <w:rsid w:val="000B3832"/>
    <w:rsid w:val="000B5D16"/>
    <w:rsid w:val="000B7B9F"/>
    <w:rsid w:val="000C0BF2"/>
    <w:rsid w:val="000C189A"/>
    <w:rsid w:val="000D310C"/>
    <w:rsid w:val="000E793D"/>
    <w:rsid w:val="00114C85"/>
    <w:rsid w:val="00116213"/>
    <w:rsid w:val="0011640B"/>
    <w:rsid w:val="00116EDD"/>
    <w:rsid w:val="00120DA1"/>
    <w:rsid w:val="00121E21"/>
    <w:rsid w:val="00136ABE"/>
    <w:rsid w:val="00137579"/>
    <w:rsid w:val="001545F4"/>
    <w:rsid w:val="001667D3"/>
    <w:rsid w:val="001913D2"/>
    <w:rsid w:val="00196A30"/>
    <w:rsid w:val="00196A33"/>
    <w:rsid w:val="00196A82"/>
    <w:rsid w:val="001976E6"/>
    <w:rsid w:val="001A7D80"/>
    <w:rsid w:val="001B428A"/>
    <w:rsid w:val="001B4BC7"/>
    <w:rsid w:val="001C3CC7"/>
    <w:rsid w:val="001C4ABC"/>
    <w:rsid w:val="001D1A14"/>
    <w:rsid w:val="001E074B"/>
    <w:rsid w:val="001E55C2"/>
    <w:rsid w:val="001F76DE"/>
    <w:rsid w:val="0020256F"/>
    <w:rsid w:val="002070C7"/>
    <w:rsid w:val="00214AD8"/>
    <w:rsid w:val="00215436"/>
    <w:rsid w:val="00216E4B"/>
    <w:rsid w:val="00222EC0"/>
    <w:rsid w:val="00223C75"/>
    <w:rsid w:val="00225027"/>
    <w:rsid w:val="002323C9"/>
    <w:rsid w:val="002367B6"/>
    <w:rsid w:val="00246EE4"/>
    <w:rsid w:val="00250144"/>
    <w:rsid w:val="00260C04"/>
    <w:rsid w:val="00263DEB"/>
    <w:rsid w:val="00265013"/>
    <w:rsid w:val="00266C91"/>
    <w:rsid w:val="002724F0"/>
    <w:rsid w:val="00277194"/>
    <w:rsid w:val="00280138"/>
    <w:rsid w:val="0028053A"/>
    <w:rsid w:val="0029221B"/>
    <w:rsid w:val="002A03B2"/>
    <w:rsid w:val="002A048D"/>
    <w:rsid w:val="002A4617"/>
    <w:rsid w:val="002B72CE"/>
    <w:rsid w:val="002C46A6"/>
    <w:rsid w:val="002D4F7B"/>
    <w:rsid w:val="002F050F"/>
    <w:rsid w:val="002F360B"/>
    <w:rsid w:val="00300237"/>
    <w:rsid w:val="00310C8F"/>
    <w:rsid w:val="00315922"/>
    <w:rsid w:val="00347DF3"/>
    <w:rsid w:val="00361476"/>
    <w:rsid w:val="00366D19"/>
    <w:rsid w:val="00367F08"/>
    <w:rsid w:val="00371ADA"/>
    <w:rsid w:val="003977E4"/>
    <w:rsid w:val="00397BAA"/>
    <w:rsid w:val="003A2B64"/>
    <w:rsid w:val="003A722F"/>
    <w:rsid w:val="003A7ACF"/>
    <w:rsid w:val="003B67B5"/>
    <w:rsid w:val="003B7224"/>
    <w:rsid w:val="003C0ABC"/>
    <w:rsid w:val="003C7894"/>
    <w:rsid w:val="00404A60"/>
    <w:rsid w:val="00405E1D"/>
    <w:rsid w:val="004124E8"/>
    <w:rsid w:val="00421DDD"/>
    <w:rsid w:val="00437A31"/>
    <w:rsid w:val="004407D8"/>
    <w:rsid w:val="00440AC8"/>
    <w:rsid w:val="00440C26"/>
    <w:rsid w:val="00442862"/>
    <w:rsid w:val="00442BCD"/>
    <w:rsid w:val="00452091"/>
    <w:rsid w:val="00455157"/>
    <w:rsid w:val="004716AA"/>
    <w:rsid w:val="00473E50"/>
    <w:rsid w:val="00484F5B"/>
    <w:rsid w:val="00491223"/>
    <w:rsid w:val="00496151"/>
    <w:rsid w:val="004A2B97"/>
    <w:rsid w:val="004A48D9"/>
    <w:rsid w:val="004A74F0"/>
    <w:rsid w:val="004B4C0F"/>
    <w:rsid w:val="004C6B68"/>
    <w:rsid w:val="004D5F01"/>
    <w:rsid w:val="004E2336"/>
    <w:rsid w:val="004E4010"/>
    <w:rsid w:val="004F2A99"/>
    <w:rsid w:val="004F343C"/>
    <w:rsid w:val="00506D49"/>
    <w:rsid w:val="005222AB"/>
    <w:rsid w:val="00530E94"/>
    <w:rsid w:val="005358C2"/>
    <w:rsid w:val="00540203"/>
    <w:rsid w:val="0054532F"/>
    <w:rsid w:val="0055155F"/>
    <w:rsid w:val="0055305E"/>
    <w:rsid w:val="00553BBB"/>
    <w:rsid w:val="0056205D"/>
    <w:rsid w:val="00562215"/>
    <w:rsid w:val="0056332A"/>
    <w:rsid w:val="00567C40"/>
    <w:rsid w:val="00577DD0"/>
    <w:rsid w:val="00585425"/>
    <w:rsid w:val="005856AE"/>
    <w:rsid w:val="00591D75"/>
    <w:rsid w:val="005A30D8"/>
    <w:rsid w:val="005A6AFF"/>
    <w:rsid w:val="005B12A4"/>
    <w:rsid w:val="005B1B9A"/>
    <w:rsid w:val="005B443F"/>
    <w:rsid w:val="005B7D0E"/>
    <w:rsid w:val="005C733E"/>
    <w:rsid w:val="005D1DA5"/>
    <w:rsid w:val="005D24B8"/>
    <w:rsid w:val="005D7230"/>
    <w:rsid w:val="005F02F6"/>
    <w:rsid w:val="005F23DE"/>
    <w:rsid w:val="00612474"/>
    <w:rsid w:val="006129B2"/>
    <w:rsid w:val="00614FC0"/>
    <w:rsid w:val="00623A48"/>
    <w:rsid w:val="00626F22"/>
    <w:rsid w:val="00630D0B"/>
    <w:rsid w:val="006338AC"/>
    <w:rsid w:val="00640467"/>
    <w:rsid w:val="0064136B"/>
    <w:rsid w:val="006454B6"/>
    <w:rsid w:val="0064596B"/>
    <w:rsid w:val="00654291"/>
    <w:rsid w:val="00655677"/>
    <w:rsid w:val="0065596F"/>
    <w:rsid w:val="00655D5B"/>
    <w:rsid w:val="00655F9F"/>
    <w:rsid w:val="006707E0"/>
    <w:rsid w:val="006729DA"/>
    <w:rsid w:val="006731A1"/>
    <w:rsid w:val="006A1A4E"/>
    <w:rsid w:val="006A7D0C"/>
    <w:rsid w:val="006B0A55"/>
    <w:rsid w:val="006B236F"/>
    <w:rsid w:val="006B3733"/>
    <w:rsid w:val="006C68DE"/>
    <w:rsid w:val="006C7B10"/>
    <w:rsid w:val="006D0246"/>
    <w:rsid w:val="006D0D22"/>
    <w:rsid w:val="006D3856"/>
    <w:rsid w:val="006E16C3"/>
    <w:rsid w:val="006E23E5"/>
    <w:rsid w:val="006E30C1"/>
    <w:rsid w:val="006E5730"/>
    <w:rsid w:val="006F2E63"/>
    <w:rsid w:val="00701A91"/>
    <w:rsid w:val="0071094F"/>
    <w:rsid w:val="00714219"/>
    <w:rsid w:val="0071737E"/>
    <w:rsid w:val="007228F9"/>
    <w:rsid w:val="00724415"/>
    <w:rsid w:val="00736CA8"/>
    <w:rsid w:val="00737FAF"/>
    <w:rsid w:val="007411B3"/>
    <w:rsid w:val="00752ADE"/>
    <w:rsid w:val="00752E60"/>
    <w:rsid w:val="0075666C"/>
    <w:rsid w:val="0076390F"/>
    <w:rsid w:val="00770BF2"/>
    <w:rsid w:val="00775144"/>
    <w:rsid w:val="00780554"/>
    <w:rsid w:val="00795CAE"/>
    <w:rsid w:val="007968DC"/>
    <w:rsid w:val="007973E5"/>
    <w:rsid w:val="007A12C7"/>
    <w:rsid w:val="007C151E"/>
    <w:rsid w:val="007C2A42"/>
    <w:rsid w:val="007D3601"/>
    <w:rsid w:val="00805144"/>
    <w:rsid w:val="00810B45"/>
    <w:rsid w:val="00817F6E"/>
    <w:rsid w:val="00825037"/>
    <w:rsid w:val="008267E5"/>
    <w:rsid w:val="00830229"/>
    <w:rsid w:val="00832676"/>
    <w:rsid w:val="00851FF0"/>
    <w:rsid w:val="00855C14"/>
    <w:rsid w:val="00866426"/>
    <w:rsid w:val="008704E6"/>
    <w:rsid w:val="008739E7"/>
    <w:rsid w:val="00892C8C"/>
    <w:rsid w:val="00895B77"/>
    <w:rsid w:val="008E26B1"/>
    <w:rsid w:val="008F1F33"/>
    <w:rsid w:val="008F50A4"/>
    <w:rsid w:val="00902B03"/>
    <w:rsid w:val="00914471"/>
    <w:rsid w:val="0093783B"/>
    <w:rsid w:val="009426B3"/>
    <w:rsid w:val="009738F6"/>
    <w:rsid w:val="00975E58"/>
    <w:rsid w:val="009760C6"/>
    <w:rsid w:val="00985FB7"/>
    <w:rsid w:val="009A025B"/>
    <w:rsid w:val="009A0358"/>
    <w:rsid w:val="009B678F"/>
    <w:rsid w:val="009C2E5D"/>
    <w:rsid w:val="009C510E"/>
    <w:rsid w:val="009E16D1"/>
    <w:rsid w:val="009E4F06"/>
    <w:rsid w:val="009E5C69"/>
    <w:rsid w:val="009F2BA9"/>
    <w:rsid w:val="009F66F3"/>
    <w:rsid w:val="00A037C6"/>
    <w:rsid w:val="00A03D05"/>
    <w:rsid w:val="00A04E0B"/>
    <w:rsid w:val="00A12229"/>
    <w:rsid w:val="00A141A0"/>
    <w:rsid w:val="00A17108"/>
    <w:rsid w:val="00A2493F"/>
    <w:rsid w:val="00A27CB1"/>
    <w:rsid w:val="00A4118B"/>
    <w:rsid w:val="00A45107"/>
    <w:rsid w:val="00A50377"/>
    <w:rsid w:val="00A554A4"/>
    <w:rsid w:val="00A573FE"/>
    <w:rsid w:val="00A57615"/>
    <w:rsid w:val="00A61FED"/>
    <w:rsid w:val="00A64AAC"/>
    <w:rsid w:val="00A8152A"/>
    <w:rsid w:val="00A82591"/>
    <w:rsid w:val="00A8493B"/>
    <w:rsid w:val="00A94273"/>
    <w:rsid w:val="00A97A73"/>
    <w:rsid w:val="00AA23D2"/>
    <w:rsid w:val="00AA36BA"/>
    <w:rsid w:val="00AB052A"/>
    <w:rsid w:val="00AB25A3"/>
    <w:rsid w:val="00AC3C74"/>
    <w:rsid w:val="00AE30E9"/>
    <w:rsid w:val="00AE55DE"/>
    <w:rsid w:val="00AF7932"/>
    <w:rsid w:val="00AF7E2E"/>
    <w:rsid w:val="00B00264"/>
    <w:rsid w:val="00B020DA"/>
    <w:rsid w:val="00B02E71"/>
    <w:rsid w:val="00B05EE6"/>
    <w:rsid w:val="00B07595"/>
    <w:rsid w:val="00B17869"/>
    <w:rsid w:val="00B22585"/>
    <w:rsid w:val="00B265CE"/>
    <w:rsid w:val="00B26FDC"/>
    <w:rsid w:val="00B3025A"/>
    <w:rsid w:val="00B3082C"/>
    <w:rsid w:val="00B322AD"/>
    <w:rsid w:val="00B3509C"/>
    <w:rsid w:val="00B54EB2"/>
    <w:rsid w:val="00B822B2"/>
    <w:rsid w:val="00B915BD"/>
    <w:rsid w:val="00B926DF"/>
    <w:rsid w:val="00B939BF"/>
    <w:rsid w:val="00B95278"/>
    <w:rsid w:val="00B97A02"/>
    <w:rsid w:val="00BB1743"/>
    <w:rsid w:val="00BB37CC"/>
    <w:rsid w:val="00BB5961"/>
    <w:rsid w:val="00BC523F"/>
    <w:rsid w:val="00BC6F1D"/>
    <w:rsid w:val="00BD13FE"/>
    <w:rsid w:val="00BD2D63"/>
    <w:rsid w:val="00BD4C84"/>
    <w:rsid w:val="00BE6E81"/>
    <w:rsid w:val="00BF3AA6"/>
    <w:rsid w:val="00C119DC"/>
    <w:rsid w:val="00C12AFA"/>
    <w:rsid w:val="00C13E52"/>
    <w:rsid w:val="00C1780F"/>
    <w:rsid w:val="00C26138"/>
    <w:rsid w:val="00C32D68"/>
    <w:rsid w:val="00C33FB5"/>
    <w:rsid w:val="00C36866"/>
    <w:rsid w:val="00C47AC1"/>
    <w:rsid w:val="00C52C2A"/>
    <w:rsid w:val="00C60534"/>
    <w:rsid w:val="00C62923"/>
    <w:rsid w:val="00C7249A"/>
    <w:rsid w:val="00C750D0"/>
    <w:rsid w:val="00C75A2B"/>
    <w:rsid w:val="00C75A9C"/>
    <w:rsid w:val="00C7666A"/>
    <w:rsid w:val="00C821D2"/>
    <w:rsid w:val="00C85184"/>
    <w:rsid w:val="00C90F28"/>
    <w:rsid w:val="00C91119"/>
    <w:rsid w:val="00CB3D0B"/>
    <w:rsid w:val="00CC0DE2"/>
    <w:rsid w:val="00CC5D68"/>
    <w:rsid w:val="00CC6033"/>
    <w:rsid w:val="00CC737B"/>
    <w:rsid w:val="00CD1C2A"/>
    <w:rsid w:val="00CE4886"/>
    <w:rsid w:val="00CF100E"/>
    <w:rsid w:val="00D050FE"/>
    <w:rsid w:val="00D0659E"/>
    <w:rsid w:val="00D06BA8"/>
    <w:rsid w:val="00D12EA8"/>
    <w:rsid w:val="00D1688A"/>
    <w:rsid w:val="00D243D1"/>
    <w:rsid w:val="00D2700E"/>
    <w:rsid w:val="00D33D49"/>
    <w:rsid w:val="00D34502"/>
    <w:rsid w:val="00D367C9"/>
    <w:rsid w:val="00D4186E"/>
    <w:rsid w:val="00D42E6C"/>
    <w:rsid w:val="00D434A2"/>
    <w:rsid w:val="00D47886"/>
    <w:rsid w:val="00D604E9"/>
    <w:rsid w:val="00D62291"/>
    <w:rsid w:val="00D62BD4"/>
    <w:rsid w:val="00D631D7"/>
    <w:rsid w:val="00D722FD"/>
    <w:rsid w:val="00D76916"/>
    <w:rsid w:val="00D76922"/>
    <w:rsid w:val="00D7760F"/>
    <w:rsid w:val="00D83E32"/>
    <w:rsid w:val="00D843F6"/>
    <w:rsid w:val="00D9695F"/>
    <w:rsid w:val="00DB470E"/>
    <w:rsid w:val="00DC2FC1"/>
    <w:rsid w:val="00DC47FF"/>
    <w:rsid w:val="00DF3AA0"/>
    <w:rsid w:val="00E10FF1"/>
    <w:rsid w:val="00E137AE"/>
    <w:rsid w:val="00E1600D"/>
    <w:rsid w:val="00E22236"/>
    <w:rsid w:val="00E222BB"/>
    <w:rsid w:val="00E25D70"/>
    <w:rsid w:val="00E36FD6"/>
    <w:rsid w:val="00E40757"/>
    <w:rsid w:val="00E526DE"/>
    <w:rsid w:val="00E61432"/>
    <w:rsid w:val="00E6297B"/>
    <w:rsid w:val="00E646E8"/>
    <w:rsid w:val="00E81CB6"/>
    <w:rsid w:val="00E82160"/>
    <w:rsid w:val="00E924EF"/>
    <w:rsid w:val="00E948A6"/>
    <w:rsid w:val="00E951CA"/>
    <w:rsid w:val="00EC1339"/>
    <w:rsid w:val="00EC4315"/>
    <w:rsid w:val="00EC518A"/>
    <w:rsid w:val="00EC79A7"/>
    <w:rsid w:val="00EE071B"/>
    <w:rsid w:val="00EE1E45"/>
    <w:rsid w:val="00EE1F07"/>
    <w:rsid w:val="00EE3013"/>
    <w:rsid w:val="00EE5176"/>
    <w:rsid w:val="00EE65F3"/>
    <w:rsid w:val="00EF5574"/>
    <w:rsid w:val="00EF798E"/>
    <w:rsid w:val="00F04C60"/>
    <w:rsid w:val="00F1187A"/>
    <w:rsid w:val="00F17F4A"/>
    <w:rsid w:val="00F213C9"/>
    <w:rsid w:val="00F23257"/>
    <w:rsid w:val="00F25669"/>
    <w:rsid w:val="00F3284B"/>
    <w:rsid w:val="00F46F78"/>
    <w:rsid w:val="00F54E90"/>
    <w:rsid w:val="00F5573C"/>
    <w:rsid w:val="00F564A9"/>
    <w:rsid w:val="00F6192A"/>
    <w:rsid w:val="00F6266B"/>
    <w:rsid w:val="00F64364"/>
    <w:rsid w:val="00F739F8"/>
    <w:rsid w:val="00F73D64"/>
    <w:rsid w:val="00F82982"/>
    <w:rsid w:val="00F83775"/>
    <w:rsid w:val="00F847CC"/>
    <w:rsid w:val="00F92460"/>
    <w:rsid w:val="00F96639"/>
    <w:rsid w:val="00FB293F"/>
    <w:rsid w:val="00FC14C9"/>
    <w:rsid w:val="00FD2AB7"/>
    <w:rsid w:val="00FD4F92"/>
    <w:rsid w:val="00FE50F2"/>
    <w:rsid w:val="00FF0AFD"/>
    <w:rsid w:val="00FF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3F"/>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9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F82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3F"/>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9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F82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ADC2-D766-4C97-937D-7E562921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2349</Words>
  <Characters>13393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24</cp:revision>
  <cp:lastPrinted>2016-07-07T13:53:00Z</cp:lastPrinted>
  <dcterms:created xsi:type="dcterms:W3CDTF">2016-07-13T07:08:00Z</dcterms:created>
  <dcterms:modified xsi:type="dcterms:W3CDTF">2016-10-13T07:13:00Z</dcterms:modified>
</cp:coreProperties>
</file>